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楷体" w:hAnsi="楷体" w:eastAsia="楷体" w:cs="楷体"/>
          <w:sz w:val="32"/>
          <w:szCs w:val="32"/>
        </w:rPr>
      </w:pPr>
      <w:bookmarkStart w:id="1" w:name="_GoBack"/>
      <w:bookmarkEnd w:id="1"/>
      <w:r>
        <w:rPr>
          <w:rFonts w:hint="eastAsia" w:ascii="楷体" w:hAnsi="楷体" w:eastAsia="楷体" w:cs="楷体"/>
          <w:sz w:val="32"/>
          <w:szCs w:val="32"/>
        </w:rPr>
        <w:t>附</w:t>
      </w:r>
      <w:r>
        <w:rPr>
          <w:rFonts w:hint="eastAsia" w:ascii="楷体" w:hAnsi="楷体" w:eastAsia="楷体" w:cs="楷体"/>
          <w:sz w:val="32"/>
          <w:szCs w:val="32"/>
          <w:lang w:val="en-US" w:eastAsia="zh-CN"/>
        </w:rPr>
        <w:t>件3</w:t>
      </w:r>
      <w:r>
        <w:rPr>
          <w:rFonts w:hint="eastAsia" w:ascii="楷体" w:hAnsi="楷体" w:eastAsia="楷体" w:cs="楷体"/>
          <w:sz w:val="32"/>
          <w:szCs w:val="32"/>
        </w:rPr>
        <w:t>：</w:t>
      </w:r>
    </w:p>
    <w:p>
      <w:pPr>
        <w:jc w:val="center"/>
        <w:rPr>
          <w:rFonts w:hint="eastAsia" w:ascii="方正小标宋简体" w:hAnsi="方正小标宋简体" w:eastAsia="方正小标宋简体" w:cs="方正小标宋简体"/>
          <w:b/>
          <w:bCs/>
          <w:sz w:val="44"/>
          <w:szCs w:val="44"/>
        </w:rPr>
      </w:pPr>
    </w:p>
    <w:p>
      <w:pPr>
        <w:jc w:val="center"/>
        <w:rPr>
          <w:rFonts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bCs/>
          <w:sz w:val="44"/>
          <w:szCs w:val="44"/>
        </w:rPr>
        <w:t>黄坤明到云浮调研：加快推动城乡区域协调发展 不断激发高质量发展动力潜能</w:t>
      </w:r>
    </w:p>
    <w:p>
      <w:pPr>
        <w:spacing w:line="560" w:lineRule="exact"/>
        <w:ind w:firstLine="640" w:firstLineChars="200"/>
        <w:rPr>
          <w:rFonts w:ascii="黑体" w:hAnsi="黑体" w:eastAsia="黑体" w:cs="黑体"/>
          <w:sz w:val="32"/>
          <w:szCs w:val="32"/>
        </w:rPr>
      </w:pP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11月24日，省委书记黄坤明前往云浮市，深入企业、镇村、创新平台等，就学习宣传贯彻党的二十大精神和习近平总书记对广东系列重要讲话、重要指示精神，促进城乡区域协调发展、科学精准做好疫情防控等工作进行调研，强调要切实把思想和行动统一到党的二十大精神上来，全面落实“疫情要防住、经济要稳住、发展要安全”的重要要求，高效统筹疫情防控和经济社会发展，以有力举措、务实作风全面推进乡村振兴，加快推动城乡区域协调发展，不断激发高质量发展动力和潜能。</w:t>
      </w:r>
    </w:p>
    <w:p>
      <w:pPr>
        <w:spacing w:line="560" w:lineRule="exact"/>
        <w:rPr>
          <w:rFonts w:ascii="仿宋" w:hAnsi="仿宋" w:eastAsia="仿宋" w:cs="仿宋_GB2312"/>
          <w:sz w:val="32"/>
          <w:szCs w:val="32"/>
        </w:rPr>
      </w:pPr>
      <w:r>
        <w:rPr>
          <w:rFonts w:hint="eastAsia" w:ascii="仿宋" w:hAnsi="仿宋" w:eastAsia="仿宋" w:cs="仿宋_GB2312"/>
          <w:sz w:val="32"/>
          <w:szCs w:val="32"/>
        </w:rPr>
        <w:t>　　中国中医科学院中药资源中心药用资源种质库，是中国中医科学院、广东药科大学和云浮市政府共建的药用种质资源保存保护和科学利用的基础性创新平台。黄坤明走进规划展厅，听取有关情况介绍，强调要高质量推进项目建设，收集和保存珍贵药用种质资源，选育和示范推广优良品种，不断提高中医药标准制定话语权，更好推动中医药“走出去”，把种质库在良种繁育、药品研发、中医药文化推广和学术交流等方面的独特作用发挥好。他指出，云浮南药资源禀赋优越，产业化种植优势明显，要以创建国家中医药产业发展试验区为契机，发挥种质库等新型研发机构作用，推动产学研深度融合，引进培育大型骨干中药企业和现代种业公司，加快把中医药产业打造成富民强市的支柱产业。</w:t>
      </w:r>
    </w:p>
    <w:p>
      <w:pPr>
        <w:spacing w:line="560" w:lineRule="exact"/>
        <w:rPr>
          <w:rFonts w:ascii="仿宋" w:hAnsi="仿宋" w:eastAsia="仿宋" w:cs="仿宋_GB2312"/>
          <w:sz w:val="32"/>
          <w:szCs w:val="32"/>
        </w:rPr>
      </w:pPr>
      <w:r>
        <w:rPr>
          <w:rFonts w:hint="eastAsia" w:ascii="仿宋" w:hAnsi="仿宋" w:eastAsia="仿宋" w:cs="仿宋_GB2312"/>
          <w:sz w:val="32"/>
          <w:szCs w:val="32"/>
        </w:rPr>
        <w:t>　　位于云城区的云浮海岸石业有限公司主要经营石材加工、销售和石材工艺制品生产。黄坤明来到企业工作车间，仔细察看生产线流水作业，询问制作工艺、技术改造、产品销售等情况，勉励企业坚持以推陈出新的技术改进提高生产效率，以精益求精的工艺设计提升产品附加值，不断做强做大；要求当地党委政府积极搭建公共技术服务平台，做好全方位服务，推动石材产业转型升级、提质增效，擦亮云浮特色产业名片。</w:t>
      </w:r>
    </w:p>
    <w:p>
      <w:pPr>
        <w:spacing w:line="560" w:lineRule="exact"/>
        <w:rPr>
          <w:rFonts w:ascii="仿宋" w:hAnsi="仿宋" w:eastAsia="仿宋" w:cs="仿宋_GB2312"/>
          <w:sz w:val="32"/>
          <w:szCs w:val="32"/>
        </w:rPr>
      </w:pPr>
      <w:r>
        <w:rPr>
          <w:rFonts w:hint="eastAsia" w:ascii="仿宋" w:hAnsi="仿宋" w:eastAsia="仿宋" w:cs="仿宋_GB2312"/>
          <w:sz w:val="32"/>
          <w:szCs w:val="32"/>
        </w:rPr>
        <w:t>　　在新兴县，黄坤明来到太平镇河村，与当地干部群众深入交流，详细了解当地依托红色资源、自然生态资源建设美丽乡村的做法和成效。他指出，要全面推进乡村振兴，坚持农业农村优先发展，扎实稳妥实施好乡村建设行动，强化规划引领，统筹资源要素，动员各方力量，保护好乡村风貌，把乡村建设得更加富有魅力，满足人民群众对美好生活的向往。</w:t>
      </w:r>
    </w:p>
    <w:p>
      <w:pPr>
        <w:spacing w:line="560" w:lineRule="exact"/>
        <w:rPr>
          <w:rFonts w:ascii="仿宋" w:hAnsi="仿宋" w:eastAsia="仿宋" w:cs="仿宋_GB2312"/>
          <w:sz w:val="32"/>
          <w:szCs w:val="32"/>
        </w:rPr>
      </w:pPr>
      <w:r>
        <w:rPr>
          <w:rFonts w:hint="eastAsia" w:ascii="仿宋" w:hAnsi="仿宋" w:eastAsia="仿宋" w:cs="仿宋_GB2312"/>
          <w:sz w:val="32"/>
          <w:szCs w:val="32"/>
        </w:rPr>
        <w:t>　　黄坤明还来到温氏食品集团股份有限公司，勉励企业充分发挥在管理、技术、市场和人才等方面的优势，优化与农户的联结机制，带动周边区域大力发展现代畜禽养殖业，助力提升农业组织化水平，促进农业增效、带动农民增收。</w:t>
      </w:r>
    </w:p>
    <w:p>
      <w:pPr>
        <w:spacing w:line="560" w:lineRule="exact"/>
        <w:rPr>
          <w:rFonts w:ascii="仿宋" w:hAnsi="仿宋" w:eastAsia="仿宋" w:cs="仿宋_GB2312"/>
          <w:sz w:val="32"/>
          <w:szCs w:val="32"/>
        </w:rPr>
      </w:pPr>
      <w:r>
        <w:rPr>
          <w:rFonts w:hint="eastAsia" w:ascii="仿宋" w:hAnsi="仿宋" w:eastAsia="仿宋" w:cs="仿宋_GB2312"/>
          <w:sz w:val="32"/>
          <w:szCs w:val="32"/>
        </w:rPr>
        <w:t>　　黄坤明强调，云浮要认真学习贯彻党的二十大精神，立足市情实际，找准新起点上推进现代化建设的着力点、突破口，起而行之、争先进位，以善谋善为、苦干实干加快实现跨越式发展。要把发展经济的着力点放在实体经济上，一手抓传统产业转型升级，一手抓战略性新兴产业发展壮大，以数字化、网络化、智能化赋能石材、生物医药、绿色能源、文化旅游等特色支柱产业，加快推动高质量发展。要持续用力推动城乡区域协调发展，壮大县域经济，强化乡镇连接纽带作用，加大力度建设宜居宜业和美乡村，统筹推进城乡一体化发展。要科学精准做好疫情防控各项工作，全面落实第九版防控方案和二十条优化措施，进一步筑牢疫情防控屏障，努力把疫情对经济社会发展和群众生产生活的影响降到最低。</w:t>
      </w: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　　</w:t>
      </w:r>
    </w:p>
    <w:p>
      <w:pPr>
        <w:spacing w:line="560" w:lineRule="exact"/>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p>
    <w:p>
      <w:pPr>
        <w:pStyle w:val="2"/>
        <w:widowControl/>
        <w:shd w:val="clear" w:color="auto" w:fill="FFFFFF"/>
        <w:spacing w:beforeAutospacing="0" w:after="168" w:afterAutospacing="0" w:line="17" w:lineRule="atLeast"/>
        <w:rPr>
          <w:rFonts w:hint="default" w:ascii="仿宋_GB2312" w:hAnsi="仿宋_GB2312" w:eastAsia="仿宋_GB2312" w:cs="仿宋_GB2312"/>
          <w:color w:val="222222"/>
          <w:spacing w:val="7"/>
          <w:sz w:val="26"/>
          <w:szCs w:val="26"/>
          <w:shd w:val="clear" w:color="auto" w:fill="FFFFFF"/>
        </w:rPr>
      </w:pPr>
    </w:p>
    <w:p>
      <w:pPr>
        <w:rPr>
          <w:rFonts w:ascii="仿宋_GB2312" w:hAnsi="仿宋_GB2312" w:eastAsia="仿宋_GB2312" w:cs="仿宋_GB2312"/>
          <w:color w:val="222222"/>
          <w:spacing w:val="7"/>
          <w:sz w:val="26"/>
          <w:szCs w:val="26"/>
          <w:shd w:val="clear" w:color="auto" w:fill="FFFFFF"/>
        </w:rPr>
      </w:pPr>
    </w:p>
    <w:p>
      <w:pPr>
        <w:rPr>
          <w:rFonts w:ascii="仿宋_GB2312" w:hAnsi="仿宋_GB2312" w:eastAsia="仿宋_GB2312" w:cs="仿宋_GB2312"/>
          <w:color w:val="222222"/>
          <w:spacing w:val="7"/>
          <w:sz w:val="26"/>
          <w:szCs w:val="26"/>
          <w:shd w:val="clear" w:color="auto" w:fill="FFFFFF"/>
        </w:rPr>
      </w:pPr>
    </w:p>
    <w:p>
      <w:pPr>
        <w:rPr>
          <w:rFonts w:ascii="仿宋_GB2312" w:hAnsi="仿宋_GB2312" w:eastAsia="仿宋_GB2312" w:cs="仿宋_GB2312"/>
          <w:color w:val="222222"/>
          <w:spacing w:val="7"/>
          <w:sz w:val="26"/>
          <w:szCs w:val="26"/>
          <w:shd w:val="clear" w:color="auto" w:fill="FFFFFF"/>
        </w:rPr>
      </w:pPr>
    </w:p>
    <w:p>
      <w:pPr>
        <w:rPr>
          <w:rFonts w:ascii="仿宋_GB2312" w:hAnsi="仿宋_GB2312" w:eastAsia="仿宋_GB2312" w:cs="仿宋_GB2312"/>
          <w:color w:val="222222"/>
          <w:spacing w:val="7"/>
          <w:sz w:val="26"/>
          <w:szCs w:val="26"/>
          <w:shd w:val="clear" w:color="auto" w:fill="FFFFFF"/>
        </w:rPr>
      </w:pPr>
    </w:p>
    <w:p>
      <w:pPr>
        <w:rPr>
          <w:rFonts w:ascii="仿宋_GB2312" w:hAnsi="仿宋_GB2312" w:eastAsia="仿宋_GB2312" w:cs="仿宋_GB2312"/>
          <w:color w:val="222222"/>
          <w:spacing w:val="7"/>
          <w:sz w:val="26"/>
          <w:szCs w:val="26"/>
          <w:shd w:val="clear" w:color="auto" w:fill="FFFFFF"/>
        </w:rPr>
      </w:pPr>
    </w:p>
    <w:p>
      <w:pPr>
        <w:rPr>
          <w:rFonts w:ascii="仿宋_GB2312" w:hAnsi="仿宋_GB2312" w:eastAsia="仿宋_GB2312" w:cs="仿宋_GB2312"/>
          <w:color w:val="222222"/>
          <w:spacing w:val="7"/>
          <w:sz w:val="26"/>
          <w:szCs w:val="26"/>
          <w:shd w:val="clear" w:color="auto" w:fill="FFFFFF"/>
        </w:rPr>
      </w:pPr>
    </w:p>
    <w:p>
      <w:pPr>
        <w:rPr>
          <w:rFonts w:ascii="楷体" w:hAnsi="楷体" w:eastAsia="楷体" w:cs="楷体"/>
          <w:sz w:val="32"/>
          <w:szCs w:val="32"/>
        </w:rPr>
        <w:sectPr>
          <w:footerReference r:id="rId3" w:type="default"/>
          <w:footerReference r:id="rId4" w:type="even"/>
          <w:pgSz w:w="11906" w:h="16838"/>
          <w:pgMar w:top="2098" w:right="1474" w:bottom="1984" w:left="1587" w:header="851" w:footer="992" w:gutter="0"/>
          <w:pgNumType w:fmt="numberInDash" w:start="1"/>
          <w:cols w:space="720" w:num="1"/>
          <w:docGrid w:type="lines" w:linePitch="312" w:charSpace="0"/>
        </w:sectPr>
      </w:pPr>
    </w:p>
    <w:p>
      <w:pPr>
        <w:rPr>
          <w:rFonts w:ascii="楷体" w:hAnsi="楷体" w:eastAsia="楷体" w:cs="楷体"/>
          <w:sz w:val="32"/>
          <w:szCs w:val="32"/>
        </w:rPr>
      </w:pPr>
      <w:r>
        <w:rPr>
          <w:rFonts w:hint="eastAsia" w:ascii="楷体" w:hAnsi="楷体" w:eastAsia="楷体" w:cs="楷体"/>
          <w:sz w:val="32"/>
          <w:szCs w:val="32"/>
        </w:rPr>
        <w:t>附</w:t>
      </w:r>
      <w:r>
        <w:rPr>
          <w:rFonts w:hint="eastAsia" w:ascii="楷体" w:hAnsi="楷体" w:eastAsia="楷体" w:cs="楷体"/>
          <w:sz w:val="32"/>
          <w:szCs w:val="32"/>
          <w:lang w:val="en-US" w:eastAsia="zh-CN"/>
        </w:rPr>
        <w:t>4</w:t>
      </w:r>
      <w:r>
        <w:rPr>
          <w:rFonts w:hint="eastAsia" w:ascii="楷体" w:hAnsi="楷体" w:eastAsia="楷体" w:cs="楷体"/>
          <w:sz w:val="32"/>
          <w:szCs w:val="32"/>
        </w:rPr>
        <w:t>：</w:t>
      </w:r>
    </w:p>
    <w:p>
      <w:pPr>
        <w:rPr>
          <w:rFonts w:ascii="楷体" w:hAnsi="楷体" w:eastAsia="楷体" w:cs="楷体"/>
          <w:sz w:val="32"/>
          <w:szCs w:val="32"/>
        </w:rPr>
      </w:pPr>
    </w:p>
    <w:p>
      <w:pPr>
        <w:jc w:val="center"/>
        <w:rPr>
          <w:rFonts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bCs/>
          <w:sz w:val="44"/>
          <w:szCs w:val="44"/>
        </w:rPr>
        <w:t>省人大代表、云浮市委书记卢荣春接受南方日报采访：突出县域、镇域经济“双轮驱动”</w:t>
      </w:r>
    </w:p>
    <w:p>
      <w:pPr>
        <w:spacing w:line="560" w:lineRule="exact"/>
        <w:rPr>
          <w:rFonts w:ascii="仿宋" w:hAnsi="仿宋" w:eastAsia="仿宋" w:cs="仿宋_GB2312"/>
          <w:sz w:val="32"/>
          <w:szCs w:val="32"/>
        </w:rPr>
      </w:pPr>
    </w:p>
    <w:p>
      <w:pPr>
        <w:spacing w:line="560" w:lineRule="exact"/>
        <w:ind w:firstLine="640" w:firstLineChars="200"/>
        <w:rPr>
          <w:rFonts w:ascii="仿宋" w:hAnsi="仿宋" w:eastAsia="仿宋" w:cs="仿宋_GB2312"/>
          <w:sz w:val="32"/>
          <w:szCs w:val="32"/>
        </w:rPr>
      </w:pPr>
      <w:r>
        <w:rPr>
          <w:rFonts w:ascii="仿宋" w:hAnsi="仿宋" w:eastAsia="仿宋" w:cs="仿宋_GB2312"/>
          <w:sz w:val="32"/>
          <w:szCs w:val="32"/>
        </w:rPr>
        <w:t>今年的省政府工作报告提出，实施“百县千镇万村高质量发展工程”，大力推进强县促镇带村。连日来，省人大代表、省政协委员结合自身工作和履职情况，围绕“强县促镇带村”亮观点、提建议，为推动城乡区域协调发展向更高水平更高质量迈进出谋划策。</w:t>
      </w:r>
    </w:p>
    <w:p>
      <w:pPr>
        <w:spacing w:line="560" w:lineRule="exact"/>
        <w:ind w:firstLine="640" w:firstLineChars="200"/>
        <w:rPr>
          <w:rFonts w:ascii="仿宋" w:hAnsi="仿宋" w:eastAsia="仿宋" w:cs="仿宋_GB2312"/>
          <w:sz w:val="32"/>
          <w:szCs w:val="32"/>
        </w:rPr>
      </w:pPr>
      <w:r>
        <w:rPr>
          <w:rFonts w:ascii="仿宋" w:hAnsi="仿宋" w:eastAsia="仿宋" w:cs="仿宋_GB2312"/>
          <w:sz w:val="32"/>
          <w:szCs w:val="32"/>
        </w:rPr>
        <w:t>粤东粤西粤北地区与珠三角相比，县域经济体量小，发展差距最大在镇，破解发展矛盾问题最艰巨最繁重的任务在农村。我认为，坚持以县域为发力点、以镇域为突破口，统筹县镇村一体发展，突出县域、镇域经济“双轮驱动”，强化镇（街）“联城带村”，能够把城乡区域发展不平衡的“短板”转化为“潜力板”。</w:t>
      </w:r>
    </w:p>
    <w:p>
      <w:pPr>
        <w:spacing w:line="560" w:lineRule="exact"/>
        <w:ind w:firstLine="640" w:firstLineChars="200"/>
        <w:rPr>
          <w:rFonts w:ascii="仿宋" w:hAnsi="仿宋" w:eastAsia="仿宋" w:cs="仿宋_GB2312"/>
          <w:sz w:val="32"/>
          <w:szCs w:val="32"/>
        </w:rPr>
      </w:pPr>
      <w:r>
        <w:rPr>
          <w:rFonts w:ascii="仿宋" w:hAnsi="仿宋" w:eastAsia="仿宋" w:cs="仿宋_GB2312"/>
          <w:sz w:val="32"/>
          <w:szCs w:val="32"/>
        </w:rPr>
        <w:t>具体如何来做？我觉得可以从县域、镇域、村域三个维度来发力。</w:t>
      </w:r>
    </w:p>
    <w:p>
      <w:pPr>
        <w:spacing w:line="560" w:lineRule="exact"/>
        <w:ind w:firstLine="640" w:firstLineChars="200"/>
        <w:rPr>
          <w:rFonts w:ascii="仿宋" w:hAnsi="仿宋" w:eastAsia="仿宋" w:cs="仿宋_GB2312"/>
          <w:sz w:val="32"/>
          <w:szCs w:val="32"/>
        </w:rPr>
      </w:pPr>
      <w:r>
        <w:rPr>
          <w:rFonts w:ascii="仿宋" w:hAnsi="仿宋" w:eastAsia="仿宋" w:cs="仿宋_GB2312"/>
          <w:sz w:val="32"/>
          <w:szCs w:val="32"/>
        </w:rPr>
        <w:t>打造现代化产业集群，加快发展壮大县域经济。以云浮为例，我们将全面打响土地收储、招商引资、项目建设“三大会战”，集中力量做大做强金属智造、绿色建材、现代农业“三大千亿产业集群”，打好承接珠三角产业转移主动仗，在守牢生态环保底线的前提下，加大招商引资力度，打开县域经济高质量发展的新空间。</w:t>
      </w:r>
    </w:p>
    <w:p>
      <w:pPr>
        <w:spacing w:line="560" w:lineRule="exact"/>
        <w:ind w:firstLine="640" w:firstLineChars="200"/>
        <w:rPr>
          <w:rFonts w:ascii="仿宋" w:hAnsi="仿宋" w:eastAsia="仿宋" w:cs="仿宋_GB2312"/>
          <w:sz w:val="32"/>
          <w:szCs w:val="32"/>
        </w:rPr>
      </w:pPr>
      <w:r>
        <w:rPr>
          <w:rFonts w:ascii="仿宋" w:hAnsi="仿宋" w:eastAsia="仿宋" w:cs="仿宋_GB2312"/>
          <w:sz w:val="32"/>
          <w:szCs w:val="32"/>
        </w:rPr>
        <w:t>持续深化“放权赋能”，激发镇域经济发展活力。要以规划为引领、以下放财权为突破口，坚持宜工则工、宜农则农、宜商则商，分类探索发展镇域经济；坚持把招商引资纳入镇街党政“一把手”考核范围，定期组织开展“竞标争先”擂台赛；细分招商引资项目，把更多的“专精特新”项目下沉镇（街），全面提升镇域经济发展新动能。</w:t>
      </w:r>
    </w:p>
    <w:p>
      <w:pPr>
        <w:spacing w:line="560" w:lineRule="exact"/>
        <w:ind w:firstLine="640" w:firstLineChars="200"/>
        <w:rPr>
          <w:rFonts w:ascii="仿宋" w:hAnsi="仿宋" w:eastAsia="仿宋" w:cs="仿宋_GB2312"/>
          <w:sz w:val="32"/>
          <w:szCs w:val="32"/>
        </w:rPr>
      </w:pPr>
      <w:r>
        <w:rPr>
          <w:rFonts w:ascii="仿宋" w:hAnsi="仿宋" w:eastAsia="仿宋" w:cs="仿宋_GB2312"/>
          <w:sz w:val="32"/>
          <w:szCs w:val="32"/>
        </w:rPr>
        <w:t>发挥龙头企业带动作用，推进村级集体经济发展。在云浮，17个“政企村共建”生态养殖小区已经全面投产。在我看来，充分发挥本地龙头企业作用，因地制宜探索发展“工业+”“农业+”“资源经济+”等集体经济模式，是一条行之有效的路子。未来应该继续依托本土优势，统筹布局主导产业，全力以赴开创村级集体经济发展新局面。</w:t>
      </w:r>
    </w:p>
    <w:p>
      <w:pPr>
        <w:spacing w:line="560" w:lineRule="exact"/>
        <w:rPr>
          <w:rFonts w:ascii="仿宋_GB2312" w:hAnsi="仿宋_GB2312" w:eastAsia="仿宋_GB2312" w:cs="仿宋_GB2312"/>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sectPr>
          <w:pgSz w:w="11906" w:h="16838"/>
          <w:pgMar w:top="2098" w:right="1474" w:bottom="1984" w:left="1587" w:header="851" w:footer="992" w:gutter="0"/>
          <w:pgNumType w:fmt="numberInDash"/>
          <w:cols w:space="720" w:num="1"/>
          <w:docGrid w:type="lines" w:linePitch="312" w:charSpace="0"/>
        </w:sectPr>
      </w:pPr>
    </w:p>
    <w:p>
      <w:pPr>
        <w:rPr>
          <w:rFonts w:ascii="楷体" w:hAnsi="楷体" w:eastAsia="楷体" w:cs="楷体"/>
          <w:sz w:val="32"/>
          <w:szCs w:val="32"/>
        </w:rPr>
      </w:pPr>
      <w:r>
        <w:rPr>
          <w:rFonts w:hint="eastAsia" w:ascii="楷体" w:hAnsi="楷体" w:eastAsia="楷体" w:cs="楷体"/>
          <w:sz w:val="32"/>
          <w:szCs w:val="32"/>
        </w:rPr>
        <w:t>附</w:t>
      </w:r>
      <w:r>
        <w:rPr>
          <w:rFonts w:hint="eastAsia" w:ascii="楷体" w:hAnsi="楷体" w:eastAsia="楷体" w:cs="楷体"/>
          <w:sz w:val="32"/>
          <w:szCs w:val="32"/>
          <w:lang w:val="en-US" w:eastAsia="zh-CN"/>
        </w:rPr>
        <w:t>5</w:t>
      </w:r>
      <w:r>
        <w:rPr>
          <w:rFonts w:hint="eastAsia" w:ascii="楷体" w:hAnsi="楷体" w:eastAsia="楷体" w:cs="楷体"/>
          <w:sz w:val="32"/>
          <w:szCs w:val="32"/>
        </w:rPr>
        <w:t>：</w:t>
      </w:r>
    </w:p>
    <w:p>
      <w:pPr>
        <w:rPr>
          <w:rFonts w:ascii="黑体" w:hAnsi="黑体" w:eastAsia="黑体" w:cs="黑体"/>
          <w:sz w:val="32"/>
          <w:szCs w:val="32"/>
        </w:rPr>
      </w:pPr>
    </w:p>
    <w:p>
      <w:pPr>
        <w:jc w:val="center"/>
        <w:rPr>
          <w:rFonts w:ascii="方正小标宋简体" w:hAnsi="方正小标宋简体" w:eastAsia="方正小标宋简体" w:cs="方正小标宋简体"/>
          <w:b/>
          <w:bCs/>
          <w:sz w:val="44"/>
          <w:szCs w:val="44"/>
        </w:rPr>
      </w:pPr>
      <w:r>
        <w:rPr>
          <w:rFonts w:ascii="方正小标宋简体" w:hAnsi="方正小标宋简体" w:eastAsia="方正小标宋简体" w:cs="方正小标宋简体"/>
          <w:b/>
          <w:bCs/>
          <w:sz w:val="44"/>
          <w:szCs w:val="44"/>
        </w:rPr>
        <w:t>牢记使命 坚定信心 勇毅前行 奋力开创高质量发展的美丽云浮新局面</w:t>
      </w:r>
    </w:p>
    <w:p>
      <w:pPr>
        <w:spacing w:line="560" w:lineRule="exact"/>
        <w:rPr>
          <w:rFonts w:ascii="黑体" w:hAnsi="黑体" w:eastAsia="黑体" w:cs="黑体"/>
          <w:sz w:val="32"/>
          <w:szCs w:val="32"/>
        </w:rPr>
      </w:pP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2021年</w:t>
      </w:r>
      <w:r>
        <w:rPr>
          <w:rFonts w:ascii="仿宋" w:hAnsi="仿宋" w:eastAsia="仿宋" w:cs="仿宋_GB2312"/>
          <w:sz w:val="32"/>
          <w:szCs w:val="32"/>
        </w:rPr>
        <w:t>12月18日上午，中国共产党云浮市第七次代表大会开幕。卢荣春代表中国共产党云浮市第六届委员会向大会作了题为《牢记使命 坚定信心 勇毅前行 奋力开创高质量发展的美丽云浮新局面》的报告。大会的主题是：坚持以习近平新时代中国特色社会主义思想为指导，全面贯彻党中央及省委的决策部署，立足新发展阶段、贯彻新发展理念、服务和融入新发展格局，进一步解放思想、守正创新，接续奋斗、勇毅前行，凝心聚力打造粤北生态发展新高地、建设高质量发展的美丽云浮，为助力广东在新征程中走在全国前列、创造新的辉煌而努力奋斗。</w:t>
      </w:r>
    </w:p>
    <w:p>
      <w:pPr>
        <w:spacing w:line="560" w:lineRule="exact"/>
        <w:ind w:firstLine="640" w:firstLineChars="200"/>
        <w:rPr>
          <w:rFonts w:ascii="仿宋" w:hAnsi="仿宋" w:eastAsia="仿宋" w:cs="仿宋_GB2312"/>
          <w:sz w:val="32"/>
          <w:szCs w:val="32"/>
        </w:rPr>
      </w:pPr>
      <w:r>
        <w:rPr>
          <w:rFonts w:ascii="仿宋" w:hAnsi="仿宋" w:eastAsia="仿宋" w:cs="仿宋_GB2312"/>
          <w:sz w:val="32"/>
          <w:szCs w:val="32"/>
        </w:rPr>
        <w:t>卢荣春代表六届市委向大会作报告，他指出，过去的五年，是党和国家各项事业取得决定性成就、实现历史性跨越的五年。在习近平总书记、党中央的擎旗领航下，我们坚决落实省委省政府“1+1+9”工作部署，团结拼搏、锐意进取、迎难而上、砥砺奋进，学习贯彻习近平新时代中国特色社会主义思想不断掀起新热潮，经济高质量发展不断跃上新台阶，“生态云浮”建设不断擦亮新成色，破解发展不平衡问题不断取得新突破，民生保障水平不断得到新提升，精神文明建设不断开创新局面，“平安云浮”建设不断迈出新步伐，政治生态建设不断呈现新气象，圆满完成了市第六次党代会的主要目标任务，为开启社会主义现代化新征程奠定了坚实基础。</w:t>
      </w:r>
    </w:p>
    <w:p>
      <w:pPr>
        <w:spacing w:line="560" w:lineRule="exact"/>
        <w:rPr>
          <w:rFonts w:ascii="仿宋" w:hAnsi="仿宋" w:eastAsia="仿宋" w:cs="仿宋_GB2312"/>
          <w:sz w:val="32"/>
          <w:szCs w:val="32"/>
        </w:rPr>
      </w:pPr>
      <w:r>
        <w:rPr>
          <w:rFonts w:ascii="仿宋" w:hAnsi="仿宋" w:eastAsia="仿宋" w:cs="仿宋_GB2312"/>
          <w:sz w:val="32"/>
          <w:szCs w:val="32"/>
        </w:rPr>
        <w:t>　　卢荣春指出，回顾五年来的奋斗历程，我们深刻体会到，必须始终坚定对标看齐，强化政治引领；必须始终坚持一切为了人民、一切依靠人民；必须始终贯彻新发展理念，用好改革“关键一招”；必须始终见势早谋在前，力争全局主动；必须始终敢于担当勇于斗争，在斗争中学会斗争；必须始终坚持党要管党，营造良好政治生态。</w:t>
      </w:r>
    </w:p>
    <w:p>
      <w:pPr>
        <w:spacing w:line="560" w:lineRule="exact"/>
        <w:rPr>
          <w:rFonts w:ascii="仿宋" w:hAnsi="仿宋" w:eastAsia="仿宋" w:cs="仿宋_GB2312"/>
          <w:sz w:val="32"/>
          <w:szCs w:val="32"/>
        </w:rPr>
      </w:pPr>
      <w:r>
        <w:rPr>
          <w:rFonts w:ascii="仿宋" w:hAnsi="仿宋" w:eastAsia="仿宋" w:cs="仿宋_GB2312"/>
          <w:sz w:val="32"/>
          <w:szCs w:val="32"/>
        </w:rPr>
        <w:t>　　卢荣春强调，今后五年，是开启全面建设社会主义现代化国家新征程的第一个五年，是建设高质量发展美丽云浮的重要战略机遇期。要牢牢把握“云浮有什么、云浮能做什么、云浮想做什么”的基本逻辑，系统分析、科学谋划。要在辩证把握“变”与“不变”中进一步认清发展形势，清醒看到抢抓多重战略机遇的难度明显增大，高质量发展的任务要求更加艰巨繁重，人民群众对美好生活的向往正在加快提升，全面从严治党要求越来越高、越来越严。要在系统分析“优势”与“短板”中进一步完善发展思路，立足云浮市情，按照“美丽云浮”一张蓝图绘到底，全面落实“一二三四五六”的思路举措，团结全市上下真抓实干、实现跨越式发展。要在打造粤北生态发展新高地、建设高质量发展的美丽云浮中进一步锚定目标定位，全力打造高站位对标的“擎旗先锋”、高质量发展的“活力新城”、高颜值生态的“西江明珠”、高品质宜居的“魅力石都”、高效能治理的“和美家园”、高水平联通的“东融示范”。</w:t>
      </w:r>
    </w:p>
    <w:p>
      <w:pPr>
        <w:spacing w:line="560" w:lineRule="exact"/>
        <w:rPr>
          <w:rFonts w:ascii="仿宋" w:hAnsi="仿宋" w:eastAsia="仿宋" w:cs="仿宋_GB2312"/>
          <w:sz w:val="32"/>
          <w:szCs w:val="32"/>
        </w:rPr>
      </w:pPr>
      <w:r>
        <w:rPr>
          <w:rFonts w:ascii="仿宋" w:hAnsi="仿宋" w:eastAsia="仿宋" w:cs="仿宋_GB2312"/>
          <w:sz w:val="32"/>
          <w:szCs w:val="32"/>
        </w:rPr>
        <w:t>　　卢荣春强调，未来五年，全市工作的总体要求是：以习近平新时代中国特色社会主义思想为指导，忠诚拥护“两个确立”、坚决践行“两个维护”，深入贯彻习近平总书记对广东重要讲话和重要指示批示精神，坚决落实省委省政府“1+1+9”工作部署，立足新发展阶段，贯彻新发展理念，构建新发展格局，坚持稳中求进的工作总基调，统筹发展和安全，以推进高质量发展为主题，以改革创新为根本动力，以“打造粤北生态发展新高地、建设高质量发展的美丽云浮”为目标，紧扣“高质量党建引领保障高质量发展”和“抓经济发展就要抓财政”这两条主线，聚焦园区经济、镇域经济、资源经济“三大抓手”，全面补齐民生短板，团结一心、勇毅前行，共同创造和谐、富裕、平安、健康、文明、绿色的高品质生活，为助力广东在新征程中走在全国前列、创造新的辉煌作出云浮新贡献、彰显云浮新担当。</w:t>
      </w:r>
    </w:p>
    <w:p>
      <w:pPr>
        <w:spacing w:line="560" w:lineRule="exact"/>
        <w:rPr>
          <w:rFonts w:ascii="仿宋" w:hAnsi="仿宋" w:eastAsia="仿宋" w:cs="仿宋_GB2312"/>
          <w:sz w:val="32"/>
          <w:szCs w:val="32"/>
        </w:rPr>
      </w:pPr>
      <w:r>
        <w:rPr>
          <w:rFonts w:ascii="仿宋" w:hAnsi="仿宋" w:eastAsia="仿宋" w:cs="仿宋_GB2312"/>
          <w:sz w:val="32"/>
          <w:szCs w:val="32"/>
        </w:rPr>
        <w:t>　　卢荣春强调，立足新起点、迈向新征程。要坚定不移实施“东融湾区”战略，全力创建大湾区西岸的投资兴业高地，突出“链联通”，高水平打造湾区先进制造业的核心配套区，对接省“双十”战略性新兴产业发展布局，全面深化与大湾区核心城市的产业共建；突出“硬联通”，深层次创建大湾区联通大西南的桥头堡，全力打造区域经济发展的重要节点；突出“软联通”，全方位对标湾区理念深化政策制度改革，纵深推进优化营商环境改革、财税领域改革、国有资本提质发展及经贸规则对接。要坚定不移实施“工业立市”战略，全力创建园区经济引领产业转型升级高地，紧紧扭住发展园区经济这个重要抓手，全面激发科技创新“第一动力”，全面培育和打造“链主企业”，全面建强产业园区“主阵地”，全面激发民营经济发展活力动力。要坚定不移实施“赋能强镇兴村”战略，全力创建镇域经济引领乡村振兴示范高地，突出规划先行、优化镇域经济发展布局；突出产业引领、提升镇域经济发展动能；突出民生为本、健全完善公共服务体系；突出以镇带村、全面引领推动乡村振兴。要坚定不移实施“资源经济”战略，全力创建践行“两山”理念的绿色发展高地，大力推进“绿色化”矿产资源开发利用，大力构建“立体式”资源经济发展体系，大力巩固和拓展粤北生态屏障功能，大力构建“双碳”引领经济发展机制，持续提升云浮高质量发展的能量能级。要坚定不移实施“城乡品质提升”战略，全力创建宜居宜业宜游的幸福生活高地，纵深推进科教兴市，全面实施“名师、名校、名校长”工程，办好“人民满意教育”；纵深推进健康云浮建设、文化强市建设及多层次社会保障网络建设，全面打造更加和谐、富裕、平安、健康、文明、绿色的幸福云浮。要坚定不移实施“安全强基”战略，全力创建社会治理现代化的平安法治高地，坚定践行总体国家安全观，统筹发展和安全，全面加强重大疫情防控体系建设，全面推进民主法治高质量建设，全面构建共建共治共享的社会治理格局，全面防范和化解重大安全风险，切实把云浮打造成为全省最安全稳定、最公平公正、法治环境最好的地区之一。</w:t>
      </w:r>
    </w:p>
    <w:p>
      <w:pPr>
        <w:spacing w:line="560" w:lineRule="exact"/>
        <w:ind w:firstLine="640"/>
        <w:rPr>
          <w:rFonts w:ascii="仿宋" w:hAnsi="仿宋" w:eastAsia="仿宋" w:cs="仿宋_GB2312"/>
          <w:sz w:val="32"/>
          <w:szCs w:val="32"/>
        </w:rPr>
      </w:pPr>
      <w:r>
        <w:rPr>
          <w:rFonts w:ascii="仿宋" w:hAnsi="仿宋" w:eastAsia="仿宋" w:cs="仿宋_GB2312"/>
          <w:sz w:val="32"/>
          <w:szCs w:val="32"/>
        </w:rPr>
        <w:t>卢荣春强调，迈向新征程、开创新局面，办好云浮的事情，关键在党。必须大力弘扬伟大建党精神，全面加强从严治党，坚定不移贯彻新时代党的建设总要求，一以贯之落实市委“五个带头”“六个坚守”的要求，大力实施政治建设统领工程、红色基因传承工程、组织建设提质工程、干部队伍能力工程、人才云聚强市工程、清廉云浮过硬工程。要聚焦“两个确立”抓实政治建设，坚持不懈用党的创新理论“铸魂”，全面擦亮基层党建的“云浮品牌”，切实锻造忠诚干净担当的“云浮铁军”，全力打造人才“云聚”兴市的“一号工程”，始终以坚如磐石的决心正风肃纪反腐，为在新征程上建设高质量发展的美丽云浮提供坚强政治保证。</w:t>
      </w:r>
    </w:p>
    <w:p>
      <w:pPr>
        <w:spacing w:line="560" w:lineRule="exact"/>
        <w:ind w:firstLine="640"/>
        <w:rPr>
          <w:rFonts w:ascii="仿宋" w:hAnsi="仿宋" w:eastAsia="仿宋" w:cs="黑体"/>
          <w:sz w:val="32"/>
          <w:szCs w:val="32"/>
        </w:rPr>
      </w:pPr>
      <w:r>
        <w:rPr>
          <w:rFonts w:ascii="仿宋" w:hAnsi="仿宋" w:eastAsia="仿宋" w:cs="仿宋_GB2312"/>
          <w:sz w:val="32"/>
          <w:szCs w:val="32"/>
        </w:rPr>
        <w:t>大会号召，行程万里不忘初心，新的赶考勇毅前行，全市各级党组织、广大党员和人民群众要更加紧密地团结在以习近平同志为核心的党中央周围，坚定接过推动云浮高质量发展的历史接力棒，以一往无前的奋斗姿态、风雨无阻的精神状态，以“坐不住、等不起、慢不得”的责任担当，以“人一我十、人十我百”的拼劲闯劲，牢记使命、坚定信心、勇毅前行，在新的赶考路上勇创新业绩、开创新局面，为广东在新征程中走在全国前列、创造新的辉煌作出云浮新贡献、彰显云浮新担当，以优异成绩迎接党的二十大胜利召开。</w:t>
      </w:r>
    </w:p>
    <w:p>
      <w:pPr>
        <w:ind w:firstLine="640"/>
        <w:rPr>
          <w:rFonts w:ascii="黑体" w:hAnsi="黑体" w:eastAsia="黑体" w:cs="黑体"/>
          <w:sz w:val="32"/>
          <w:szCs w:val="32"/>
        </w:rPr>
        <w:sectPr>
          <w:pgSz w:w="11906" w:h="16838"/>
          <w:pgMar w:top="2098" w:right="1474" w:bottom="1984" w:left="1587" w:header="851" w:footer="992" w:gutter="0"/>
          <w:pgNumType w:fmt="numberInDash"/>
          <w:cols w:space="720" w:num="1"/>
          <w:docGrid w:type="lines" w:linePitch="312" w:charSpace="0"/>
        </w:sectPr>
      </w:pPr>
    </w:p>
    <w:p>
      <w:pPr>
        <w:rPr>
          <w:rFonts w:ascii="楷体" w:hAnsi="楷体" w:eastAsia="楷体" w:cs="楷体"/>
          <w:sz w:val="32"/>
          <w:szCs w:val="32"/>
        </w:rPr>
      </w:pPr>
      <w:r>
        <w:rPr>
          <w:rFonts w:hint="eastAsia" w:ascii="楷体" w:hAnsi="楷体" w:eastAsia="楷体" w:cs="楷体"/>
          <w:sz w:val="32"/>
          <w:szCs w:val="32"/>
        </w:rPr>
        <w:t>附</w:t>
      </w:r>
      <w:r>
        <w:rPr>
          <w:rFonts w:hint="eastAsia" w:ascii="楷体" w:hAnsi="楷体" w:eastAsia="楷体" w:cs="楷体"/>
          <w:sz w:val="32"/>
          <w:szCs w:val="32"/>
          <w:lang w:val="en-US" w:eastAsia="zh-CN"/>
        </w:rPr>
        <w:t>6</w:t>
      </w:r>
      <w:r>
        <w:rPr>
          <w:rFonts w:hint="eastAsia" w:ascii="楷体" w:hAnsi="楷体" w:eastAsia="楷体" w:cs="楷体"/>
          <w:sz w:val="32"/>
          <w:szCs w:val="32"/>
        </w:rPr>
        <w:t>：</w:t>
      </w:r>
    </w:p>
    <w:p>
      <w:pPr>
        <w:spacing w:line="560" w:lineRule="exact"/>
        <w:rPr>
          <w:rFonts w:ascii="仿宋" w:hAnsi="仿宋" w:eastAsia="仿宋" w:cs="仿宋_GB2312"/>
          <w:sz w:val="32"/>
          <w:szCs w:val="32"/>
        </w:rPr>
      </w:pPr>
    </w:p>
    <w:p>
      <w:pPr>
        <w:jc w:val="center"/>
        <w:rPr>
          <w:rFonts w:ascii="方正小标宋简体" w:hAnsi="方正小标宋简体" w:eastAsia="方正小标宋简体" w:cs="方正小标宋简体"/>
          <w:b/>
          <w:bCs/>
          <w:sz w:val="44"/>
          <w:szCs w:val="44"/>
        </w:rPr>
      </w:pPr>
      <w:bookmarkStart w:id="0" w:name="_Hlk128733705"/>
      <w:r>
        <w:rPr>
          <w:rFonts w:ascii="方正小标宋简体" w:hAnsi="方正小标宋简体" w:eastAsia="方正小标宋简体" w:cs="方正小标宋简体"/>
          <w:b/>
          <w:bCs/>
          <w:sz w:val="44"/>
          <w:szCs w:val="44"/>
        </w:rPr>
        <w:t>2023年市《政府工作报告》重点任务</w:t>
      </w:r>
    </w:p>
    <w:p>
      <w:pPr>
        <w:jc w:val="center"/>
        <w:rPr>
          <w:rFonts w:ascii="方正小标宋简体" w:hAnsi="方正小标宋简体" w:eastAsia="方正小标宋简体" w:cs="方正小标宋简体"/>
          <w:b/>
          <w:bCs/>
          <w:sz w:val="44"/>
          <w:szCs w:val="44"/>
        </w:rPr>
      </w:pPr>
      <w:r>
        <w:rPr>
          <w:rFonts w:ascii="方正小标宋简体" w:hAnsi="方正小标宋简体" w:eastAsia="方正小标宋简体" w:cs="方正小标宋简体"/>
          <w:b/>
          <w:bCs/>
          <w:sz w:val="44"/>
          <w:szCs w:val="44"/>
        </w:rPr>
        <w:t>分工方案</w:t>
      </w:r>
      <w:bookmarkEnd w:id="0"/>
    </w:p>
    <w:p>
      <w:pPr>
        <w:spacing w:line="560" w:lineRule="exact"/>
        <w:rPr>
          <w:rFonts w:ascii="仿宋" w:hAnsi="仿宋" w:eastAsia="仿宋" w:cs="仿宋_GB2312"/>
          <w:sz w:val="32"/>
          <w:szCs w:val="32"/>
        </w:rPr>
      </w:pP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为深入贯彻落实党的二十大、中央经济工作会议、省委十三届二次全会和省委经济工作会议精神，全面落实市七届人大三次会议通过的市《政府工作报告》部署，做好今年全市政府工作，努力实现经济社会发展目标任务，现制订本分工方案，将2023年市《政府工作报告》确定的主要预期目标和八大重点工作任务，对应分解为具体举措，并逐项明确分管市领导和部门分工，涉及多个分管市领导的，按照政府分工抓好落实。</w:t>
      </w:r>
    </w:p>
    <w:p>
      <w:pPr>
        <w:spacing w:line="560" w:lineRule="exact"/>
        <w:ind w:firstLine="641"/>
        <w:outlineLvl w:val="0"/>
        <w:rPr>
          <w:rFonts w:ascii="黑体" w:hAnsi="黑体" w:eastAsia="黑体" w:cs="黑体"/>
          <w:sz w:val="32"/>
          <w:szCs w:val="32"/>
        </w:rPr>
      </w:pPr>
      <w:r>
        <w:rPr>
          <w:rFonts w:hint="eastAsia" w:ascii="黑体" w:hAnsi="黑体" w:eastAsia="黑体" w:cs="黑体"/>
          <w:sz w:val="32"/>
          <w:szCs w:val="32"/>
        </w:rPr>
        <w:t>一、2023年经济社会发展主要预期目标</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1．地区生产总产值增长7%以上。</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分管市领导：吴泽桐</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部门分工：市发展改革局牵头，各地负责；各部门配合。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2．地方一般公共预算收入增长6%以上。</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分管市领导：吴泽桐</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部门分工：市财政局牵头，各地负责；各部门配合。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3．规模以上工业增加值增长8%。</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分管市领导：梁东海</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部门分工：市工业和信息化局牵头，各地负责；各部门配合。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4．固定资产投资增长8%。</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分管市领导：吴泽桐</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部门分工：市发展改革局牵头，各地负责；各部门配合。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5．社会消费品零售总额增长6%。</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分管市领导：梁绍雄</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部门分工：市商务局牵头，各地负责；各部门配合。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6．外贸进出口总额增长3%。</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分管市领导：梁绍雄</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部门分工：市商务局牵头，各地负责；各部门配合。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7．全体居民人均可支配收入增长与经济增长基本同步。</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分管市领导：吴泽桐</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部门分工：市发展改革局牵头，各地负责；各部门配合。</w:t>
      </w:r>
    </w:p>
    <w:p>
      <w:pPr>
        <w:spacing w:line="560" w:lineRule="exact"/>
        <w:ind w:firstLine="641"/>
        <w:outlineLvl w:val="0"/>
        <w:rPr>
          <w:rFonts w:ascii="黑体" w:hAnsi="黑体" w:eastAsia="黑体" w:cs="黑体"/>
          <w:sz w:val="32"/>
          <w:szCs w:val="32"/>
        </w:rPr>
      </w:pPr>
      <w:r>
        <w:rPr>
          <w:rFonts w:hint="eastAsia" w:ascii="黑体" w:hAnsi="黑体" w:eastAsia="黑体" w:cs="黑体"/>
          <w:sz w:val="32"/>
          <w:szCs w:val="32"/>
        </w:rPr>
        <w:t>二、突出制造业当家，持续筑牢高质量发展的坚实支撑</w:t>
      </w:r>
    </w:p>
    <w:p>
      <w:pPr>
        <w:spacing w:line="560" w:lineRule="exact"/>
        <w:ind w:firstLine="641"/>
        <w:outlineLvl w:val="1"/>
        <w:rPr>
          <w:rFonts w:ascii="楷体" w:hAnsi="楷体" w:eastAsia="楷体" w:cs="仿宋_GB2312"/>
          <w:b/>
          <w:bCs/>
          <w:sz w:val="32"/>
          <w:szCs w:val="32"/>
        </w:rPr>
      </w:pPr>
      <w:r>
        <w:rPr>
          <w:rFonts w:hint="eastAsia" w:ascii="楷体" w:hAnsi="楷体" w:eastAsia="楷体" w:cs="仿宋_GB2312"/>
          <w:b/>
          <w:bCs/>
          <w:sz w:val="32"/>
          <w:szCs w:val="32"/>
        </w:rPr>
        <w:t>（一）做大千亿金属智造产业集群。</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8．聚焦“两钢一铝”，推动金晟兰第三条生产线建成投产、南方东海项目尽快动工、新兴凤铝项目加快建设。</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工作措施：加强与上级部门沟通，推动南方东海加快产能置换手续办理并尽快动工，推进金晟兰第三条生产线建成投产，积极协助企业落实2023年粗钢产量指标。加快凤铝铝材项目建设，确保项目顺利推进。</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分管市领导：梁东海</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部门分工：市工业和信息化局，云城区政府、新兴县政府牵头，市发展改革局、市自然资源局等配合。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9．促进不锈钢和铝制品产业创新发展，推动欧德罗厨具、猎人谷精密铸造等项目建成投产，支持新合铝业、广云新材料等企业转型升级。</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引导不锈钢和铝制品企业加大研发投入，提升技术水平，促进企业与高校院所深化产学研合作，建设一批技术创新平台。支持企业研制和应用CNC数控机床、工业机器人等先进装备。促进企业通过技术改造、数字化转型等方式实现产业升级。</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分管市领导：梁东海</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部门分工：市工业和信息化局，新兴县政府、云浮新区管委会牵头，市发展改革局、市科技局、市自然资源局等配合。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10．大力发展汽车零部件产业，加快爱德克斯二期、溢康通二期等项目建设。</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抓住省汽车零部件产业“强链工程”机遇，立足现有汽车零部件企业开展延链补链强链，建立关键零部件产业链配套体系。聚焦湾区整车产业配套需求，积极引进一批一级、二级和三级供应商生产项目，打造湾区整车配套基地。</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分管市领导：梁东海</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部门分工：市工业和信息化局、云浮新区管委会牵头，市发展改革局、市投资促进局等配合。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11．深化佛云两地氢能汽车领域合作，推进产业链上下游协同发展。</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落实广东燃料电池汽车示范城市群目标任务，加强与金属智造、绿色矿山、现代物流等产业的协同合作，大力推广应用氢燃料电池物流车、重型卡车。利用佛山对口帮扶氢能源汽车优势，共同谋划佛山-云浮氢能产业集聚发展。</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分管市领导：梁东海</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部门分工：市工业和信息化局，佛山（云浮）产业转移工业园管委会牵头，市发展改革局、市投资促进局等配合。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12．积极发展环保装备、五金机械、石材机械等先进装备制造业，推动产业向高端化、智能化、绿色化延伸。</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积极引导企业加大技术创新投入，与大湾区高校院所、产业链上下游企业深化产学研合作，解决共性和关键技术难题，提高技术创新能力。推动省级质量监督检验站提标提质，为企业标准修订、产品质量把关、技术升级等提供技术支撑。推动企业“上云上平台”，向涵盖采购、加工、品质管理、库存管理、物流配送等环节的全链条数字化升级。</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分管市领导：梁东海</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部门分工：市工业和信息化局牵头，市发展改革局、市科技局、市市场监管局、市投资促进局，云浮新区管委会、佛山（云浮）产业转移工业园管委会等配合。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13．力争全年金属智造产业产值超300亿元，保持年均增长50%，到2026年突破千亿大关。</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落实《云浮市打造千亿金属智造产业集群行动方案（2022-2026年）》目标任务。全力支持金晟兰第三条生产线、南方东海项目建设。推动爱德克斯二期全面建成投产，支持新豪轩科技、先丰不锈钢、广云新材料等项目增资扩产。</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分管市领导：梁东海</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部门分工：市工业和信息化局牵头，市发展改革局、市投资促进局，各县（市、区）政府、云浮新区管委会、佛山（云浮）产业转移工业园管委会等配合。</w:t>
      </w:r>
    </w:p>
    <w:p>
      <w:pPr>
        <w:spacing w:line="560" w:lineRule="exact"/>
        <w:ind w:firstLine="641"/>
        <w:outlineLvl w:val="1"/>
        <w:rPr>
          <w:rFonts w:ascii="楷体" w:hAnsi="楷体" w:eastAsia="楷体" w:cs="仿宋_GB2312"/>
          <w:b/>
          <w:bCs/>
          <w:sz w:val="32"/>
          <w:szCs w:val="32"/>
        </w:rPr>
      </w:pPr>
      <w:r>
        <w:rPr>
          <w:rFonts w:hint="eastAsia" w:ascii="楷体" w:hAnsi="楷体" w:eastAsia="楷体" w:cs="仿宋_GB2312"/>
          <w:b/>
          <w:bCs/>
          <w:sz w:val="32"/>
          <w:szCs w:val="32"/>
        </w:rPr>
        <w:t>（二）做优千亿绿色建材产业集群。</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14．高起点规划建设云浮国际石材产业城、绿色新型建材产业园区，新培育5家年产值超亿元石材企业。</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加快云浮国际石材产业城（主园）规划，积极引入国有资本和社会资本参与建设，采用“一园多区”的总体布局方式打造九个功能区。加快出台《云浮市扶持石材产业高质量发展办法（试行）》，培育5家以上产值超亿元石材企业。充分用好现有矿山资源，着力打造绿色新型建材产业园区。</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分管市领导：梁东海</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部门分工：市工业和信息化局，云城区政府、云安区政府、郁南县政府牵头，市发展改革局、市自然资源局、市生态环境局、市交通运输局、市林业局、市投资促进局等配合。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15．高标准建设云安观音山、郁南冲旺岭两个投资超百亿元的矿产资源绿色开发项目，统筹矿山、骨料、机制砂、混凝土和预制件等关联产业联动发展，加快鸿业管桩二期、中铁十二局集团建筑构件等项目建设，着力打造全省装配式建筑产业基地。</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统筹协调矿山开发各方面工作，加快办理云安观音山、郁南冲旺岭矿产开发项目等事项，推动项目全面动工建设，早日投产。积极加强与省沟通，争取省土地指标支持。支持鸿业管桩、中铁十二局项目建设，发挥我市钢铁、水泥、矿山等优势，打造全省装配式建筑产业基地。</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分管市领导：梁东海</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部门分工：市工业和信息化局牵头，市发展改革局、市自然资源局、市生态环境局、市住房城乡建设局、市林业局、市投资促进局，云城区政府、云安区政府、郁南县政府等配合。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16．高水平推动水泥、陶瓷企业开展节能降碳改造，提高产业发展综合效益。</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支持水泥、陶瓷行业重点用能单位积极采用先进适用技术和设备（产品），开展节能诊断，推进生产线节能改造和绿色化升级。加强水泥、陶瓷行业重点用能单位节能降碳目标管理。深入企业开展节能宣传活动，提升企业节能意识。</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分管市领导：吴泽桐</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部门分工：市发展改革局牵头，市工业和信息化局、市生态环境局、市住房城乡建设局，各县（市、区）政府等配合。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17．力争全年绿色建材产业产值超500亿元，保持年均增长26%，到2026年突破千亿大关。</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全面落实《云浮市打造千亿绿色建材产业集群行动方案（2022-2026年）》任务目标，推动石材、矿山、水泥、陶瓷、机制砂、装配式建筑材料等产业高质量发展，促进与工业旅游、数字经济等产业融合发展。</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分管市领导：梁东海</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部门分工：市工业和信息化局、市住房城乡建设局牵头，市发展改革局、市自然资源局、市生态环境局、市林业局、市投资促进局，各县（市、区）政府等配合。</w:t>
      </w:r>
    </w:p>
    <w:p>
      <w:pPr>
        <w:spacing w:line="560" w:lineRule="exact"/>
        <w:ind w:firstLine="641"/>
        <w:outlineLvl w:val="1"/>
        <w:rPr>
          <w:rFonts w:ascii="楷体" w:hAnsi="楷体" w:eastAsia="楷体" w:cs="仿宋_GB2312"/>
          <w:b/>
          <w:bCs/>
          <w:sz w:val="32"/>
          <w:szCs w:val="32"/>
        </w:rPr>
      </w:pPr>
      <w:r>
        <w:rPr>
          <w:rFonts w:hint="eastAsia" w:ascii="楷体" w:hAnsi="楷体" w:eastAsia="楷体" w:cs="仿宋_GB2312"/>
          <w:b/>
          <w:bCs/>
          <w:sz w:val="32"/>
          <w:szCs w:val="32"/>
        </w:rPr>
        <w:t>（三）做强千亿现代农业产业集群。</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18．加快实施“六个一”工程，年内新增省级农业产业园2个以上，力争新培育1家国家级、2家省级重点农业龙头企业，着力打造健康禽畜、道地南药、优质稻米等“云字号”特色农业品牌。</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大力推动广东省优质鸡跨县集群产业园（云浮市）、新兴县水产产业园创建省级现代农业产业园。重点培育支持本地知名龙头企业发展成为链主企业，支持鼓励广东明基水产集团有限公司申报国家级重点农业龙头企业，支持优质的市级农业龙头企业申报省级重点农业龙头企业。大力培育特色农业基地，实行标准化生产，加强质量管理，打造一批特色农业品牌。</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分管市领导：王巍</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部门分工：市农业农村局牵头，市工业和信息化局、市中医药局，各县（市、区）政府等配合。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19．持续擦亮国家农产品质量安全市品牌，大力发展预制菜等食品工业，促进一产接二连三。</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工作措施：进一步加强农产品质量安全监管工作。支持、引导新型经营主体发展预制菜产业，大力发展禽畜类、水产类和药膳类等具有云浮特色的预制菜产品，加快推动农产品加工业发展。</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分管市领导：王巍</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部门分工：市农业农村局牵头，市工业和信息化局、市市场监管局，各县（市、区）政府、云浮新区管委会、佛山（云浮）产业转移工业园管委会等配合。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20．着力完善农产品冷链物流基础设施骨干网，加快天业冷链产业园、市农产品综合批发市场等项目建设，建成运营5个大型冷库，积极争创全省一流放心农产品直供配送示范市。</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与省直部门签订战略合作协议，争取省资金、项目等政策支持。加快推动省供销集团、省天业冷链集团公司共建的5个大型冷库建设，争取年内营运投产。推动天业冷链产业园项目加快落地，统筹发展市农产品综合批发市场项目与“云浮市冷链物流基地”项目。主动融入全省农产品直供配送网络，推广“订单农业”农产品直供配送模式。制定实施方案，积极申报和打造全省一流直供配送网络示范市。</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分管市领导：王巍</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部门分工：市供销社牵头，市农业农村局，各县（市、区）政府等配合。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21．加快建设并推动中国中医科学院中药种质资源库上升为国家战略，致力打造全球最大、国际一流的药用种质资源库。</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建立健全种质资源库的管理机制，加快召开第一届理事会，成立学术委员会等日常领导决策机构。落实建设资金（中央预算内资金，专项债和涉农资金），同步推进一、二期项目，加快完善项目设计及开展招投标工作，尽快动工建设。统筹推动种质资源库与南药实验室（南药研发中心）一体化建设。完成一批药用种质资源“育繁推”产业标准制修订项目立项。</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分管市领导：王巍</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部门分工：市农业农村局、市中医药局牵头，市科技局、市林业局、广东药科大学（云浮）校区等配合。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22．大力推行标准化规模化生态种植，谋划建设广东南药产地交易市场，延伸发展南药加工、中药提取、健康养生和休闲旅游等产业链条，全力争创国家中医药产业发展试验区。</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完成4项南药种植地方标准制修订，争取制定一批南药团体标准，稳定和扩大肉桂、牛大力等本地优势南药品种种植规模。与中国南药城合作，建设南药产地交易市场1个、田头市场一批。大力引进中医药龙头企业，带动中药加工、中药提取等产业链延伸发展。实施“十镇百村”南药种植工程。助力推进乡村振兴“三带”建设，打造“南药之乡·绿色康养”示范带。聚力加快建设国家中医药综合改革示范区试点，着力构建中医药现代产业体系，争创国家中医药产业发展试验区。</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分管市领导：王巍</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部门分工：市中医药局牵头，市工业和信息化局、市农业农村局、市商务局、市文广旅体局、市市场监管局，各县（市、区）政府等配合。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23．力争全年现代农业产值超730亿元，保持年均增长15%，到2025年突破千亿大关。</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重点发展家禽、生猪和肉牛养殖产业，依托温氏集团等龙头企业，加快畜禽业全产业链建设，实现种养加、产供销一体化运营。加快发展丝苗米标准化生产示范基地建设，加大高档米新品种引进和试验示范，加快发展稻米深加工产业。依托省级现代农业产业园优势，以创建水产产业园为契机，推动林业、水果、蔬菜、花卉、渔业、茶叶、竹蒸笼等产业快速发展，夯实一产发展基础，推动农村一产向二三产延伸发展。</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分管市领导：王巍</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部门分工：市农业农村局牵头，市工业和信息化局、市市场监管局、市林业局、市中医药局，各县（市、区）政府等配合。</w:t>
      </w:r>
    </w:p>
    <w:p>
      <w:pPr>
        <w:spacing w:line="560" w:lineRule="exact"/>
        <w:ind w:firstLine="641"/>
        <w:outlineLvl w:val="1"/>
        <w:rPr>
          <w:rFonts w:ascii="楷体" w:hAnsi="楷体" w:eastAsia="楷体" w:cs="仿宋_GB2312"/>
          <w:b/>
          <w:bCs/>
          <w:sz w:val="32"/>
          <w:szCs w:val="32"/>
        </w:rPr>
      </w:pPr>
      <w:r>
        <w:rPr>
          <w:rFonts w:hint="eastAsia" w:ascii="楷体" w:hAnsi="楷体" w:eastAsia="楷体" w:cs="仿宋_GB2312"/>
          <w:b/>
          <w:bCs/>
          <w:sz w:val="32"/>
          <w:szCs w:val="32"/>
        </w:rPr>
        <w:t>（四）做精百亿特色产业集群。</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24．大力发展精细化工产业，建强云安循环经济产业园、郁南大湾化工产业园，支持云硫矿业、惠云钛业等链主企业增资扩产，加快建设百亿新能源材料产业园。</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加快推进云安产业集聚地申报省产业园。推动云安循环经济产业园、郁南大湾化工产业园开展省化工园区认定工作。支持云硫矿业、惠云钛业建设百亿新能源材料产业园。制定支持化工产业发展行动方案，延长上下游产业链，加快形成百亿化工产业集群。</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分管市领导：梁东海</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部门分工：市工业和信息化局牵头，市发展改革局，云城区政府、云安区政府、郁南县政府等配合。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25．加快发展大健康产业，整合禅文化、中医文化、人文和生态资源，着力培育生物制药和康养产业，谋划打造全省旅居养老示范基地。</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加快市健康医药产业园、罗定中药提取基地建设，推动产业接二连三。引导符合条件的单位申报中国美丽乡村、全国休闲农业示范县、省级休闲农业与乡村旅游重点县、示范镇、示范点和省级农业公园等，积极发展田园养生、农耕体验等康养项目。在学校及医疗机构建设国医大师传承工作室。校企合作共建中医康养保健和产业人才培养基地。研发特色药膳餐饮、南药产品，开发康养课程、文旅路线及康养社区等多元化康养促进项目。建立与广深港澳养老服务机构交流合作的有效平台和长效机制，谋划建设一批康养文化社区，加快建设新兴县金水台温泉小镇项目，积极打造创建“全省旅居养老示范基地”。</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分管市领导：梁东海、王巍</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部门分工：市工业和信息化局、市中医药局牵头，市发展改革局、市农业农村局、市民政局、市文广旅体局、市卫生健康局，各县（市、区）政府、云浮新区管委会、佛山（云浮）产业转移工业园管委会等配合。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26．借势发展信创产业和数字经济，加快微容科技园、雅达电子、翔海光电等项目建设。</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用好用活省支持信创产业发展专项资金，加快推进省市共建信创园建设。围绕信创产业关键领域开展精准招商，吸引更多企业落户云浮。加快5G全面部署，实现市、县、乡镇以及工业园区等行业应用密集地区连续覆盖。推动微容科技园、雅达电子、翔海光电等重大项目加快建设。</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分管市领导：梁东海</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部门分工：市工业和信息化局牵头，罗定市政府、云浮新区管委会负责。</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27．培育发展现代物流等生产服务业，加快广云物流园、云浮（云硫）电商物流快递产业园建设。</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在结合城区商贸发展规划的基础上，加快编制规划，按大流通的思路进行全面统筹、整体设计、详细规划、合理布局和资源整合，形成物流业发展合力。实现对快递物流企业的规范管理，对现有小散企业占用土地进行整治，提高土地资源利用效率。加快快递园区建设，促进快递业实现规范化发展，发挥快递电商产业的集聚效应和协同效应，有效降低快递电商运营成本，带动周边业态发展。</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分管市领导：梁绍雄</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部门分工：市邮政管理局，云城区政府牵头，市工业和信息化局、市交通运输局、市商务局、市国资委，其他县（市、区）政府、云浮新区管委会、佛山（云浮）产业转移工业园管委会等配合。</w:t>
      </w:r>
    </w:p>
    <w:p>
      <w:pPr>
        <w:spacing w:line="560" w:lineRule="exact"/>
        <w:ind w:firstLine="641"/>
        <w:outlineLvl w:val="1"/>
        <w:rPr>
          <w:rFonts w:ascii="楷体" w:hAnsi="楷体" w:eastAsia="楷体" w:cs="仿宋_GB2312"/>
          <w:b/>
          <w:bCs/>
          <w:sz w:val="32"/>
          <w:szCs w:val="32"/>
        </w:rPr>
      </w:pPr>
      <w:r>
        <w:rPr>
          <w:rFonts w:hint="eastAsia" w:ascii="楷体" w:hAnsi="楷体" w:eastAsia="楷体" w:cs="仿宋_GB2312"/>
          <w:b/>
          <w:bCs/>
          <w:sz w:val="32"/>
          <w:szCs w:val="32"/>
        </w:rPr>
        <w:t>（五）做实企业“培优扶强”工程。</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28．引导企业创新创造创优创强，推动“科技—产业—金融”良性循环，年内新增1家主板上市企业，新增高新技术企业25家以上、科技型中小企业25家以上。</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组织实施省市科技创新专项，撬动更多的社会资金参与科技研发，引导传统行业规上企业加大研发投入，推动转型升级。发挥市科技信贷风险准备金作用，引导合作金融机构加大对科技企业信贷投放力度。引入高端创新资源，共建高水平科创平台，加强关键技术攻关，推动落实高新技术企业培育扶持办法、科技信贷风险准备金、研发费用税前加计扣除等政策，支持企业发展壮大。筛选市内优质企业分层次进入上市后备企业库，充分发挥云浮产业投资发展基金、云浮市新三板基金等基金的扶持培育作用，并引导社会资本与后备企业合作，为上市后备企业发展提供资金和政策支持。</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分管市领导：吴泽桐、梁东海</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部门分工：市科技局、市金融工作局牵头，市国资委，各县（市、区）政府、云浮新区管委会、佛山（云浮）产业转移工业园管委会等配合。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29．加强企业梯度培育，力争年产值10亿元以上工业企业达到20家以上，其中产值百亿元以上工业企业1家，推动40家规上企业数字化转型，促进30家企业“小升规”，培育10家“专精特新”企业，推动形成大型企业顶天立地、中型企业承天启地、小型企业铺天盖地的良好生态。</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积极培育10亿元以上骨干工业企业，发挥龙头带动作用。建立“小升规”及“专精特新”企业培育库，推动企业提前入库培育。落实省级2022年小微工业企业上规模、2023年省级专精特新企业贷款贴息奖补资金。推动石材、不锈钢制品等产业集群开展数字化转型试点建设，引导40家以上企业充分运用信息化技术提升生产技术和管理水平。</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分管市领导：梁东海</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部门分工：市工业和信息化局牵头，各县（市、区）政府等配合。</w:t>
      </w:r>
    </w:p>
    <w:p>
      <w:pPr>
        <w:spacing w:line="560" w:lineRule="exact"/>
        <w:ind w:firstLine="641"/>
        <w:outlineLvl w:val="0"/>
        <w:rPr>
          <w:rFonts w:ascii="黑体" w:hAnsi="黑体" w:eastAsia="黑体" w:cs="黑体"/>
          <w:sz w:val="32"/>
          <w:szCs w:val="32"/>
        </w:rPr>
      </w:pPr>
      <w:r>
        <w:rPr>
          <w:rFonts w:hint="eastAsia" w:ascii="黑体" w:hAnsi="黑体" w:eastAsia="黑体" w:cs="黑体"/>
          <w:sz w:val="32"/>
          <w:szCs w:val="32"/>
        </w:rPr>
        <w:t>三、聚焦“三大会战”，持续增强高质量发展的充沛后劲</w:t>
      </w:r>
    </w:p>
    <w:p>
      <w:pPr>
        <w:spacing w:line="560" w:lineRule="exact"/>
        <w:ind w:firstLine="641"/>
        <w:outlineLvl w:val="1"/>
        <w:rPr>
          <w:rFonts w:ascii="楷体" w:hAnsi="楷体" w:eastAsia="楷体" w:cs="仿宋_GB2312"/>
          <w:b/>
          <w:bCs/>
          <w:sz w:val="32"/>
          <w:szCs w:val="32"/>
        </w:rPr>
      </w:pPr>
      <w:r>
        <w:rPr>
          <w:rFonts w:hint="eastAsia" w:ascii="楷体" w:hAnsi="楷体" w:eastAsia="楷体" w:cs="仿宋_GB2312"/>
          <w:b/>
          <w:bCs/>
          <w:sz w:val="32"/>
          <w:szCs w:val="32"/>
        </w:rPr>
        <w:t>（一）全力打好土地收储大会战。</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30．科学编制土地储备计划，中心城区应储尽储、应征尽征，全市新增储备用地1.5万亩以上，为城市未来发展留足空间。</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制定出台全市行动方案，将全年新增储备用地不低于15000亩的任务目标，分解细化到各县（市、区）。对2023年拟征收的土地进行全面摸底排查，建立土地收储一张图和土地收储数据库。督促指导各地落实年度收储计划和收储方案，按照时间节点，挂图作战，确保12月25日前完成任务。市土地收储领导小组成立考核小组对各地完成情况进行考核，并通报考核结果。</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分管市领导：谢月浩</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部门分工：市自然资源局牵头，各县（市、区）政府、云浮新区管委会、佛山（云浮）产业转移工业园管委会等配合。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31．加强批而未供、供而未用、用而未尽土地的清理处置，盘活低效闲置土地8000亩。</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制定出台专项行动方案，将任务分解到各县（市、区）。充分发挥好市“挣”用地指标和卫片执法工作专班（锄头队）的作用，建立每月一调度、每季度一研判、每半年一总结、每年度一考核的“四个一”机制，压实层级责任，推动工作落实。督促指导各地落实“一地一策”处置方案，分类处理，逐宗销号，确保11月30日前完成任务。</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分管市领导：谢月浩</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部门分工：市自然资源局牵头，各县（市、区）政府、云浮新区管委会、佛山（云浮）产业转移工业园管委会负责。</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32．加强要素保障，做实前期工作，推行“标准地”供地，努力做到“拿地即开工”。</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制定出台《云浮市工业用地评估考核实施方案》，对全市工业项目在固定资产投资强度、亩均税收两个指标按区域修正系数进行差异调控，严格把好入门关，把用地指标安排到优质项目。鼓励各地结合实际，采取长期租赁、先租后让、弹性年期等方式供应工业用地，探索推行“工业标准地”“带项目”供应等新型供地模式，逐步实现“拿地即开工”。</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分管市领导：谢月浩</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部门分工：市自然资源局牵头，市工业和信息化局，各县（市、区）政府、云浮新区管委会、佛山（云浮）产业转移工业园管委会负责。</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33．坚持“亩均论英雄”，加快出台工业用地评估考核实施方案。</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充分发挥好市产业用地绩效考核评估工作领导小组作用，为全市的工业用地评估考核提供组织保障。制定出台《云浮市工业用地评估考核实施方案》，对全市工业项目用地，实行供地前进行评估，建设中进行监管，建成后进行考核的全流程管理，对拟落地的工业用地项目进行事前评估、事中监督、事后问效，提高我市工业用地的节约集约利用水平，发挥土地资源最大的效益。</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分管市领导：谢月浩</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部门分工：市自然资源局牵头，市投资促进局，各县（市、区）政府、云浮新区管委会、佛山（云浮）产业转移工业园管委会等配合。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34．坚持节约集约用地，支持园区建设多层标准厂房，推动“工业上楼”。</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支持万洋众创、信基等企业根据主导产业类型建设多层标准厂房，缩短项目建设周期，提高园区土地节约集约利用水平。鼓励企业扩张由新建改为改建、加层，向空间发展。支持园区引入国有资本、社会资本建设标准厂房，充分利用国有资本、社会资本的力量招引产业链链主企业、龙头企业，推动产业链上下游集聚发展。</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分管市领导：梁东海</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部门分工：市工业和信息化局牵头，各县（市、区）政府、云浮新区管委会、佛山（云浮）产业转移工业园管委会负责，市自然资源局等配合。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35．加快创建国家高新区，支持罗定双东工业园、郁南大湾工业园创建省级高新区。</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加快修改完善《云浮高新区战略发展规划》《云浮高新区产业发展规划》，推动落实创建国家高新区各项举措，加强高新区管理机构与各行政区管理机构的统筹协调，加快做实“一区多园”。积极探索“项目+”模式，找准产业链和创新链深度融合的结合点、联结点和发力点，推动国家高新区“以升促建”工作进程。指导罗定、郁南工业园区建设科技企业孵化器，提升园区创新创业服务能力，加快推动创建省级高新区。</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分管市领导：梁东海</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部门分工：市科技局牵头，各县（市、区）政府、云浮新区管委会、佛山（云浮）产业转移工业园管委会负责，市工业和信息化局等配合。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36．深入实施园区产值倍增和主导产业提升计划，力争百亿园区达到3个以上、全市工业园区规上工业总产值超500亿元。</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深入实施园区主导产业提升和产值倍增计划，围绕园区主导产业，聚焦产业链招商，积极承接国内外特别是珠三角产业转移落户园区。聚焦十大园区经济，大力发展特色产业园区。发挥佛山（云浮）产业转移工业园示范带动效应，推进其它产业园区做专做优。推进我市省级产业转移工业园区升级、扩容。集中资源打造我市承接产业转移主平台。建立完善重点项目领导挂钩负责制，全力加快重点项目建设。</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分管市领导：梁东海</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部门分工：市工业和信息化局牵头，各县（市、区）政府等配合。</w:t>
      </w:r>
    </w:p>
    <w:p>
      <w:pPr>
        <w:spacing w:line="560" w:lineRule="exact"/>
        <w:ind w:firstLine="641"/>
        <w:outlineLvl w:val="1"/>
        <w:rPr>
          <w:rFonts w:ascii="楷体" w:hAnsi="楷体" w:eastAsia="楷体" w:cs="仿宋_GB2312"/>
          <w:b/>
          <w:bCs/>
          <w:sz w:val="32"/>
          <w:szCs w:val="32"/>
        </w:rPr>
      </w:pPr>
      <w:r>
        <w:rPr>
          <w:rFonts w:hint="eastAsia" w:ascii="楷体" w:hAnsi="楷体" w:eastAsia="楷体" w:cs="仿宋_GB2312"/>
          <w:b/>
          <w:bCs/>
          <w:sz w:val="32"/>
          <w:szCs w:val="32"/>
        </w:rPr>
        <w:t>（二）全力打好招商引资大会战。</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37．健全招商机制，实施招商引资“一把手”工程，建立“链长+专班”，市县镇三级联动，启动招商伙伴合作计划，形成大招商、招大商、招好商的工作格局。</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坚持领导干部带头招商，建立“高位统筹、链长负责、专班推进、联动招商”的“链长+专班”工作机制。充分发挥统一战线资源，宣传推介云浮、搜集引荐项目信息。抢抓“省推动产业有序转移”重大机遇，加强与佛山对口帮扶云浮指挥部沟通交流、联动招商。加强招商联络处建设，强化驻点招商干部考核，积极发挥招商引资“前沿一公里”作用。发挥招商引资绩效考核指挥棒作用，激发各级各部门的招商引资积极性、主动性和创造性。</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分管市领导：梁东海</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部门分工：市投资促进局牵头，各县（市、区）政府负责，市直各部门配合。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38．明晰招商路径，紧扣“十大园区经济”，绘制产业招商地图、产业链招商指引，瞄准粤港澳大湾区、京津冀经济圈、长三角经济圈，以及“500强”“独角兽”“专精特新”等重点地区重点企业，大力引进一批高端装备、先进制造、新型储能、高新技术等优质项目。</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推进“筑巢引凤”和“借巢引凤”，精心策划在粤港澳大湾区或京津冀、长三角等重点区域举办产业链专题招商推介会，每条产业链至少组织开展一场。高标准建设打造我市承接产业有序转移主平台，力争更多产业转移项目落户云浮。注重巩固推介成果，及时邀请意向投资企业到云浮实地考察和对接洽谈，加快形成集聚效应，推进产业升级转型。</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分管市领导：梁东海</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部门分工：市投资促进局牵头，各县（市、区）政府负责，市直各部门配合。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39．创新招商模式，充分发挥驻外地招商联络处作用，聘请一批行业商（协）会长、企业高管、杰出乡贤为招商顾问，加强以商引商、以侨引商、以链引商、联合招商、组团招商。</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加强驻大湾区招商联络处建设，绘制招商地图、招商指引，建立招商数据库。发挥异地云浮商会的资源优势，促进“云商回归”。聘请行业商（协）会、链主企业、知名企业、投资咨询机构等负责人及杰出乡贤为招商顾问，推进以商招商、以企引企。依托统一战线人脉关系，广泛邀请各级民主党派会员企业、行业协会会员企业前来云浮考察投资环境。创建侨商产业园，大力吸引侨商投资。</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分管市领导：梁东海</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部门分工：市投资促进局牵头，各县（市、区）政府负责，市直各部门配合。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40．提升招商成效，推动“云商回归”、资本回流、项目回投、人才回聚、总部回建，实现全年招商项目计划总投资600亿元以上。</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围绕打造百亿制造业产业集群目标，大力引进一批产业带动性强、关联度高、亩均效益好的优质制造业项目，发展壮大产业集群。围绕加强招商引资规划、招大引强与建链补链强链稳链并举，加快完善产业招商图谱，用好驻点招商、以商引商、乡贤招商、“云”招商等模式，紧盯世界和全国500强、行业领军企业“敲门招商”，增强赴北上广深招商推介影响力。</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分管市领导：梁东海</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部门分工：市投资促进局牵头，各县（市、区）政府负责，市直各部门配合。</w:t>
      </w:r>
    </w:p>
    <w:p>
      <w:pPr>
        <w:spacing w:line="560" w:lineRule="exact"/>
        <w:ind w:firstLine="641"/>
        <w:outlineLvl w:val="1"/>
        <w:rPr>
          <w:rFonts w:ascii="楷体" w:hAnsi="楷体" w:eastAsia="楷体" w:cs="仿宋_GB2312"/>
          <w:b/>
          <w:bCs/>
          <w:sz w:val="32"/>
          <w:szCs w:val="32"/>
        </w:rPr>
      </w:pPr>
      <w:r>
        <w:rPr>
          <w:rFonts w:hint="eastAsia" w:ascii="楷体" w:hAnsi="楷体" w:eastAsia="楷体" w:cs="仿宋_GB2312"/>
          <w:b/>
          <w:bCs/>
          <w:sz w:val="32"/>
          <w:szCs w:val="32"/>
        </w:rPr>
        <w:t>（三）全力打好项目建设大会战。</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41．计划安排市重点项目215个，总投资3063.81亿元，年度计划投资480.23亿元。</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制定项目建设大会战行动方案，明确工作目标、工作重点和具体举措。立足不同项目建设领域，重点狠抓工业、农业、服务、园区基础设施目、交通、能源、水利、城建、科技教育、卫生医疗和公共服务十大领域项目建设。实行项目进度“每月一调度、每月一通报”制度。加强社会资本投融资合作对接服务，引导金融机构加大资金投入。</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分管市领导：吴泽桐</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部门分工：市发展改革局牵头，各县（市、区）政府负责，市直各部门配合。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42．充分发挥基础设施投资的“压舱石”作用，大力推进环北部湾广东水资源配置工程、广佛肇云高速、深南高铁、广湛高铁、国道324改线等项目建设，加快推动县县通高铁、镇镇通高速、村村通公路，实现“水路铁联运、城乡园通达、人车路共美”。</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提高项目谋划能力，针对基础设施薄弱环节储备项目，最大程度发挥基础设施投资效用。扎实做好前期工作，紧盯国家政策导向和城市发展需求，深化项目设计，强化策划包装，提升项目成熟度，规划和实施好一批重大基础设施建设项目。</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分管市领导：吴泽桐、梁绍雄</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部门分工：市发展改革局、市交通运输局、市水务局牵头，各县（市、区）政府负责。</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43．谋划推进105个、计划总投资1051.54亿元的市重点预备项目，加快做好前期工作。</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指导督促项目单位加快项目前期工作，支持项目提前开工。积极组织符合条件的项目申报省重大项目前期工作经费，做好市级重大项目前期工作经费安排，加大重大项目前期工作经费投入。组织符合条件的项目增补纳入省重点建设前期预备项目计划，争取各项政策支持。</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分管市领导：吴泽桐</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部门分工：市发展改革局牵头，市直各部门，各县（市、区）政府等配合。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44．坚持“资源要素跟着项目走”，用好新增债券资金和政策性开发性金融工具，大力发展融资租赁业务，高效配置用地用林用能、环境容量等指标，支持省重点项目先行用地，确保重大项目落地建设、建成见效。</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准确把握国家投资政策，加强对项目单位指导，积极争取专项债券资金和政策性开发性金融工具基金支持。积极争取更多项目纳入省重点项目计划。支持和鼓励国有资本、民营企业和其他社会资本在我市共同组建混合所有制融资租赁公司。</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分管市领导：吴泽桐</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部门分工：市发展改革局牵头，市财政局、市自然资源局、市生态环境局、市林业局、市金融工作局，各县（市、区）政府等配合。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45．积极探索混合所有制改革，鼓励更多企业和社会资本积极参与重大基础设施、重要民生项目等领域投融资建设和运营管理，进一步提升项目建设的创新力、竞争力、带动力。</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科学制定改革方案，支持和引导具备条件的市属重点监管企业引入其他国有资本实现股权多元化，保持国有资本控股地位，支持非国有资本参股。采用增资扩股的方式引入中央、省属国有企业或实力雄厚的民营企业等战略投资者，积极参与云浮国际石材产业城主园区等重大项目投资、建设、运营。对国有绝对控股企业、相对控股企业和参股企业实施市场化的差异化管控。</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分管市领导：吴泽桐</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部门分工：市国资委牵头，市金融工作局，各县（市、区）政府等配合。</w:t>
      </w:r>
    </w:p>
    <w:p>
      <w:pPr>
        <w:spacing w:line="560" w:lineRule="exact"/>
        <w:ind w:firstLine="641"/>
        <w:outlineLvl w:val="0"/>
        <w:rPr>
          <w:rFonts w:ascii="黑体" w:hAnsi="黑体" w:eastAsia="黑体" w:cs="仿宋_GB2312"/>
          <w:sz w:val="32"/>
          <w:szCs w:val="32"/>
        </w:rPr>
      </w:pPr>
      <w:r>
        <w:rPr>
          <w:rFonts w:hint="eastAsia" w:ascii="黑体" w:hAnsi="黑体" w:eastAsia="黑体" w:cs="仿宋_GB2312"/>
          <w:sz w:val="32"/>
          <w:szCs w:val="32"/>
        </w:rPr>
        <w:t>四、着力扩内需稳外贸，持续提升高质量发展的坚强韧性</w:t>
      </w:r>
    </w:p>
    <w:p>
      <w:pPr>
        <w:spacing w:line="560" w:lineRule="exact"/>
        <w:ind w:firstLine="641"/>
        <w:outlineLvl w:val="1"/>
        <w:rPr>
          <w:rFonts w:ascii="楷体" w:hAnsi="楷体" w:eastAsia="楷体" w:cs="仿宋_GB2312"/>
          <w:b/>
          <w:bCs/>
          <w:sz w:val="32"/>
          <w:szCs w:val="32"/>
        </w:rPr>
      </w:pPr>
      <w:r>
        <w:rPr>
          <w:rFonts w:hint="eastAsia" w:ascii="楷体" w:hAnsi="楷体" w:eastAsia="楷体" w:cs="仿宋_GB2312"/>
          <w:b/>
          <w:bCs/>
          <w:sz w:val="32"/>
          <w:szCs w:val="32"/>
        </w:rPr>
        <w:t>（一）促进消费市场提质。</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46．合理规划“多中心、便民化”的消费布局，全面推进“一刻钟便民生活圈”建设，谋划建设高品质汽车、日用品、建材、农贸等一批专业市场。</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合理规划“多中心、便民化”的消费布局，优化社区商业发展布局，支持品牌化连锁经营，培育壮大若干个网点多、实力强的社区便利店企业，提高优质商品供给。向上争取政策支持各县（市、区）谋划建设汽车、日用品、建材、农贸等专业市场。</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分管市领导：梁绍雄</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部门分工：市商务局牵头，市民政局、市自然资源局、市住房城乡建设局、市农业农村局、市市场监管局，各县（市、区）政府等配合。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47．加快推动吾悦广场等一批商贸综合体建成开业，谋划推进云城区解放路历史街区、南山水岸商业步行街、玉皇路步行街等商业街改造升级，擦亮新兴庙街、郁南中山路等商贸招牌，着力提升消费供给水平。</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强化服务，力争吾悦广场院街3月率先建成交付开业，综合体年内建成开业；申报县域商业行动示范县，支持中心城区步行街区升级改造；支持综合体招商、步行街（商圈）谋划举办形式多样的促消费活动，擦亮新兴庙街、郁南中山路等商贸招牌。</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分管市领导：梁绍雄</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部门分工：市商务局，云城区政府牵头，新兴县政府、郁南县政府负责，市自然资源局、市住房城乡建设局等配合。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48．推动特色农产品预制食品“组团”闯进大湾区，力争全年新增20家限上企业。</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工作措施：大力发展具有云浮特色的预制菜产品，积极开展预制菜产品宣传推介活动。优化消费服务，与现有限额以上商贸企业建立常态化“一对一”服务，力争全年新增培育限上企业20家。</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分管市领导：梁绍雄、王巍</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部门分工：市商务局、市农业农村局牵头，市工业和信息化局、市统计局、市税务局，各县（市、区）政府等配合。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49．打通农村消费渠道，完善县镇村三级电商、物流商贸服务体系，延伸布局大型电商、供销、邮政、快递企业供应链。</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用好用足县域商业建设行动政策，引进电商、物流、快递等行业企业集聚，建设云浮（云硫）电商快递物流产业园，促进现代物流发展。建设云浮优质农特产品展销馆，打造“云邮四方”云浮区域农特产品品牌，推动线上线下融合发展，促进农村消费提质升级。举办“采购商直通车”“采购商会客室”“网红直播间”等网络对接活动，促进农产品产销对接。</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分管市领导：梁绍雄</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部门分工：市商务局牵头，市农业农村局、市供销社、市邮政管理局，各县（市、区）政府等配合。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50．出台刺激消费恢复政策措施，通过发放消费券、开展促消费活动等方式提振消费意愿，大力开展房地产、汽车、家电、文化、美食等系列主题促消费活动，持续激发文旅、住宿、餐饮及大宗商品等领域消费潜力。</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根据省出台的扩大消费工作要点，制定我市扩大消费工作措施。开展“云浮新春欢乐购”消费券发放促消费活动，计划在全市餐饮、住宿行业发放480万元消费券，营造浓厚消费氛围，提振市场信心，激发消费活力。培育消费节庆品牌，推动各地开展节日主题、房地产、汽车、家电、美食等系列促消费活动20场。</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分管市领导：梁绍雄</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部门分工：市商务局牵头，市发展改革局、市财政局、市住房城乡建设局、市文广旅体局、市市场监管局，各县（市、区）政府等配合。</w:t>
      </w:r>
    </w:p>
    <w:p>
      <w:pPr>
        <w:spacing w:line="560" w:lineRule="exact"/>
        <w:ind w:firstLine="641"/>
        <w:outlineLvl w:val="1"/>
        <w:rPr>
          <w:rFonts w:ascii="楷体" w:hAnsi="楷体" w:eastAsia="楷体" w:cs="仿宋_GB2312"/>
          <w:b/>
          <w:bCs/>
          <w:sz w:val="32"/>
          <w:szCs w:val="32"/>
        </w:rPr>
      </w:pPr>
      <w:r>
        <w:rPr>
          <w:rFonts w:hint="eastAsia" w:ascii="楷体" w:hAnsi="楷体" w:eastAsia="楷体" w:cs="仿宋_GB2312"/>
          <w:b/>
          <w:bCs/>
          <w:sz w:val="32"/>
          <w:szCs w:val="32"/>
        </w:rPr>
        <w:t>（二）促进贸易结构提优。</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51．用好RCEP政策措施，依托石材、不锈钢制品两个国家级外贸转型升级基地挖掘出口潜力，培育10家亿元级外贸龙头企业，继续做大做强不锈钢餐厨具、石材、农产品、玩具服装、电子、化工新材料等传统产业，推动外贸稳定增长。</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加大RCEP政策措施宣传力度。依托石材、不锈钢制品两个国家级外贸转型升级基地挖掘出口潜力，培育10家亿元级外贸龙头企业，帮助不锈钢餐厨具、石材、农产品、玩具、服装、电子、化工新材料等传统产业转型升级，推动外贸稳定增长。鼓励肉桂加工企业、花卉企业开拓国外市场，引导、鼓励农业经营主体开展出口基地认证、开展对外贸易。</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分管市领导：梁绍雄</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部门分工：市商务局牵头，各县（市、区）政府负责，市工业和信息化局、市农业农村局、云浮海关、罗定海关、市税务局、中国人民银行云浮市中心支行等配合。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52．布局建设绿色建材出口创汇基地，在贵金属、建筑材料、电子、煤炭、南药等方面持续发力，加快促进外贸增长多元化。</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布局建设绿色建材出口创汇基地，推动云安区砂石出口，力争罗定贵金属企业及早开展加工贸易，强化政策支持及入企服务，稳住电子类产品出口，积极对接华润总部，谋划华润煤炭进口，发挥已有贸易公司作用，推动南药出口形成新增长点，加快促进外贸增长多元化。</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分管市领导：梁绍雄</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部门分工：市商务局牵头，各县（市、区）政府负责，市工业和信息化局、市住房城乡建设局、市中医药局、中国人民银行云浮市中心支行等配合。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53．推动国资民企合作组建国际贸易公司，加快建成跨境电子商务清关中心。</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积极引进民营企业与市属国有企业出资组建市国际贸易有限公司，服务特色产业，将其打造成为全市进出口贸易专业平台，为小微贸易企业在出口退税、融资等方面提供服务。夯实跨境电商基础建设，引进第三方运营主体，加快建成云浮跨境电商清关中心。推动商务、云城、云安和塔星集团共建云浮石材工艺电商（跨境）直播基地，推动基地跨境电子商务平台发展。</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分管市领导：梁绍雄</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部门分工：市商务局、市国资委牵头，市工业和信息化局、市金融工作局、中国人民银行云浮市中心支行，云浮海关、罗定海关、市税务局，各县（市、区）政府等配合。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54．支持云浮新区建设保税物流中心（B型），持续优化外贸营商环境。</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支持和推动属地政府完善工作机构及工作方案，推进发展规划编制、产业政策落实、载体建设等工作。采取有吸引力的招商措施，争取国内大型物流企业参与建设云浮新区保税物流中心（B型）。争取同国内物流行业协会的合作，扩大保税物流招商影响力，提高招商引资的成功率。</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分管市领导：梁绍雄</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部门分工：云浮新区管委会、市商务局牵头，市财政局、市税务局、市市场监管局、中国人民银行云浮市中心支行、云浮海关、罗定海关等配合。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55．抢抓机遇“组团出海”，巩固传统市场，扩大“一带一路”沿线国家和地区新兴市场，积极培育东南亚国际市场，千方百计帮助企业抢订单稳订单。</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抢抓机遇“组团出海”，开展“百企百展”活动，采取政府引导、协会主导、企业参与的方式组织企业参加国内外展会，在政策上予以大力支持，提振企业信心，帮助企业巩固传统市场，扩大“一带一路”沿线国家和地区新兴市场，积极培育东南亚国际市场，千方百计帮助企业抢订单稳订单。</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分管市领导：梁绍雄</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部门分工：市商务局牵头，市贸促会，各县（市、区）政府等配合。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56．深入实施质量强市战略，大力培育“云浮石材”“新兴煲”等地方品牌，持续擦亮“云浮制造”名片。</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加大质量发展专项资金投入，争取成立我市质量提升发展基金。结合“问诊治病”“强身健体”质量帮扶工作，围绕重点产业或重点领域开展质量提升行动，创新实施质量政策，加强全面质量管理，优化质量技术基础“一站式”服务，补短板、强弱项、破瓶颈、助创新，全面提升我市企业产品质量水平和管理水平。大力推进“云浮石材”集体商标和“云浮石雕”证明商标申请注册，擦亮“云浮石材”“新兴不锈钢”品牌。</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分管市领导：梁东海</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部门分工：市市场监管局牵头，市质量强市工作领导小组各成员单位，各县（市、区）政府等配合。</w:t>
      </w:r>
    </w:p>
    <w:p>
      <w:pPr>
        <w:spacing w:line="560" w:lineRule="exact"/>
        <w:ind w:firstLine="641"/>
        <w:outlineLvl w:val="1"/>
        <w:rPr>
          <w:rFonts w:ascii="楷体" w:hAnsi="楷体" w:eastAsia="楷体" w:cs="仿宋_GB2312"/>
          <w:b/>
          <w:bCs/>
          <w:sz w:val="32"/>
          <w:szCs w:val="32"/>
        </w:rPr>
      </w:pPr>
      <w:r>
        <w:rPr>
          <w:rFonts w:hint="eastAsia" w:ascii="楷体" w:hAnsi="楷体" w:eastAsia="楷体" w:cs="仿宋_GB2312"/>
          <w:b/>
          <w:bCs/>
          <w:sz w:val="32"/>
          <w:szCs w:val="32"/>
        </w:rPr>
        <w:t>（三）促进会展经济提级。</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57．加强与高水平会展组织机构开展战略合作，支持各县（市、区）培育发展特色“展会+贸易”促进活动，打造以石材展为中心，不锈钢（铝制品）餐厨具、南药、信创数字经济、稻米、无核黄皮协调发展的“一中心五板块”会展业发展格局。</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培育和引进国内外专业会展企业。结合各县（市）区产业优势，以展促产，形成“一区一项目，一产一品牌”特色展产合作发展新模式。用好“粤贸全国”政策措施,支持石材展、不锈钢（铝制品）餐厨具展、南药展、信创数字经济展、稻米展、无核黄皮展等重点展会，提升企业和产品的国内市场影响力和知名度。</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分管市领导：梁绍雄</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部门分工：市商务局牵头，市工业和信息化局、市农业农村局、市中医药局，各县（市、区）政府等配合。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58．推动建设石材泛家居应用体验中心，打造一批永不落幕的石材板材和荒料采购中心，助力云浮石材“买全球、卖全球”。</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推动建设石材泛家居应用体验中心，筛选已有石材大卖场，引导条件好且有意愿的卖场企业积极参与，引导支持百家国际、海岸石业、永光国际、石通天下、华中石业、中云石海等打造成石材板材和荒料采购中心，助力云浮石材“买全球、卖全球”。</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分管市领导：梁绍雄</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部门分工：市商务局，云城区政府、云安区政府牵头，市工业和信息化局等配合。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59．支持新兴县向省申办首届金属智造产业不锈钢（铝制）餐厨具博览会。</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加强与高水平会展组织机构开展战略合作，以市场化运作方式高质量办好首届金属智造产业不锈钢（铝制）餐厨具博览会。加强有关政策支持，通过“粤贸全国”或其他有关政策，对首届金属智造产业不锈钢（铝制）餐厨具博览会给予一定的资金支持。</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分管市领导：梁绍雄</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部门分工：新兴县政府牵头，市商务局配合。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60．推动传统会展项目数字化转型，精准对接采购需求、延伸会展服务。</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整合现有会展资源，运用5G、VR/AR、大数据等现代信息技术手段，积极打造线上展会平台，推动展会线上线下融合发展。实施“互联网+会展”战略，建设“云会展”“云对接”“云推介”“云洽谈”等线上会展平台，创新线上展会对接、线上交易经营模式，精准对接会展和采购需求，延伸会展服务。</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分管市领导：梁绍雄</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部门分工：市商务局牵头，市工业和信息化局、市政务服务数据管理局，各县（市、区）政府等配合。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61．推动会展、文化、旅游、体育深度融合，大力发展策划、广告、租赁、传媒等配套产业，形成“开放共享、联动创新、融合发展”的产业联动格局。</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通过打造石材、不锈钢（铝制品）餐厨具、南药、信创数字经济、稻米、无核黄皮等品牌展会，利用展会集聚效应，带来源源不断的商流、物流、人流、资金流、信息流，直接推动商贸、旅游、广告、租赁、传媒业等发展，不断创造商机，吸引投资，进而拉动其它产业的发展。</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分管市领导：梁绍雄</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部门分工：市商务局牵头，市文广旅体局、市市场监管局，各县（市、区）政府等配合。</w:t>
      </w:r>
    </w:p>
    <w:p>
      <w:pPr>
        <w:spacing w:line="560" w:lineRule="exact"/>
        <w:ind w:firstLine="641"/>
        <w:outlineLvl w:val="0"/>
        <w:rPr>
          <w:rFonts w:ascii="黑体" w:hAnsi="黑体" w:eastAsia="黑体" w:cs="仿宋_GB2312"/>
          <w:sz w:val="32"/>
          <w:szCs w:val="32"/>
        </w:rPr>
      </w:pPr>
      <w:r>
        <w:rPr>
          <w:rFonts w:hint="eastAsia" w:ascii="黑体" w:hAnsi="黑体" w:eastAsia="黑体" w:cs="仿宋_GB2312"/>
          <w:sz w:val="32"/>
          <w:szCs w:val="32"/>
        </w:rPr>
        <w:t>五、推进城乡区域协调发展，持续激发高质量发展的内在潜力</w:t>
      </w:r>
    </w:p>
    <w:p>
      <w:pPr>
        <w:spacing w:line="560" w:lineRule="exact"/>
        <w:ind w:firstLine="641"/>
        <w:outlineLvl w:val="1"/>
        <w:rPr>
          <w:rFonts w:ascii="楷体" w:hAnsi="楷体" w:eastAsia="楷体" w:cs="仿宋_GB2312"/>
          <w:b/>
          <w:bCs/>
          <w:sz w:val="32"/>
          <w:szCs w:val="32"/>
        </w:rPr>
      </w:pPr>
      <w:r>
        <w:rPr>
          <w:rFonts w:hint="eastAsia" w:ascii="楷体" w:hAnsi="楷体" w:eastAsia="楷体" w:cs="仿宋_GB2312"/>
          <w:b/>
          <w:bCs/>
          <w:sz w:val="32"/>
          <w:szCs w:val="32"/>
        </w:rPr>
        <w:t>（一）以“三大引擎”促县域振兴。</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62．巩固国家园林城市、国家卫生城市创建成果，扎实推进全国文明城市创建工作。</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对中心城区“一河两岸”和公共区域中心、主干道十字路口、各个关键空间节点进行综合改造，建设一批综合公园、口袋公园、街头小景，把云浮城市山水特色、城市人文特色、城市精品特色展示出来，提升城市品位，巩固国家园林城市创建成果。加强健康教育和健康促进工作，广泛开展健康宣传活动，推进全民健康行动。加强重大疾病的防控，减少传染病的发生。提高医疗卫生监管能力，保障公共卫生安全和强化医疗服务质量提升。做好病媒生物预防控制工作，开展巩固灭鼠、灭蝇、灭蚊、灭蟑工作。进一步加强除“四害”工作，巩固“除四害”成果。严格对标指标体系，加强学习研究，加大培训力度，开展模拟测评。推进城市基础设施补短板项目，强化推进五大创建，提升全域创建水平，提升城市品牌美誉度、知名度。签订责任状，清单式督办，加大力度推进市容市貌综合整治，力争“门前三包”自我承诺书签约率达100%、知晓率达90%以上、履约率达80%以上。</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分管市领导：各副市长</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部门分工：市住房城乡建设局、市创文办、市巩卫办牵头，各县（市、区）政府等配合。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63．紧扣建市30周年历史节点，积极推动108个总投资1384.63亿元的中心城区首位度提升项目加快落地建设。</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深入实施中心城区首位度提升行动，强化要素保障，积极拓宽投入渠道，加强用地保障。围绕打造教育中心、医疗中心、文化中心、商务中心、经济中心、行政中心“六个中心”目标，加强项目管理，持续完善项目清单，根据实际情况对项目进行动态调整，对符合条件的项目纳入省市重点项目计划管理。</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分管市领导：各副市长</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部门分工：市发展改革局、市教育局、市工业和信息化局、市自然资源局、市住房城乡建设局、市商务局、市文广旅体局、市卫生健康局、市政务服务数据管理局，云城区政府牵头，市直其他部门配合。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64．推动市委党校基础设施迁建项目、市政务服务中心、市融媒体中心智媒园区等项目加快建设。</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引导项目科学合理选址、布局，统筹要素保障，完善项目服务保障机制，提供全流程、全方位的“保姆式”用地保障服务。加强与项目单位沟通，加大指导力度，加快项目审批进程，紧扣时间节点，紧抓关键环节，压实各方责任。</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分管市领导：吴泽桐、谢月浩</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部门分工：市发展改革局、市自然资源局牵头，市财政局、市政务服务数据管理局，云城区政府等配合。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65．启动20个城镇老旧小区改造，贯通罗桂路等14条市政道路。</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抓紧办理20个老旧小区改造项目前期手续，2023年6月前正式开工建设，2023年底前完成全部建设任务，并按时支出上级专项补助资金。加快梳理14条市政道路贯通建设项目情况，2023年6月前完成立项、招标等前期工作，启动建设，2023年底前建成通车。</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分管市领导：谢月浩</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部门分工：市住房城乡建设局，云城区政府牵头，其他县（市、区）政府等配合。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66．完成城区供水主管网三期改造升级。</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加快推进云浮市城区供水主管网改造升级工程项目建设，改造供水管道全长约8.9公里。一是升级改造环市东路云六路口至牧羊路口至兴云东路金龙桥段供水管网约3公里；二是升级改造云石大道至筠城南山春天连接段供水管网4.2公里；三是升级改造金丰路路口至翠丰路路口连接段供水管网0.9公里；四是升级改造育才路段供水管网0.8公里。强化沟通协调，保障项目要素提速项目建设，积极参与设计把关、建设监管、项目验收等，保障改造升级工程高标准高质量完成建设并投入使用。</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分管市领导：谢月浩</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部门分工：市住房城乡建设局，云城区政府牵头，市国资委、云浮市粤海水务自来水公司等配合。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67．系统化全域推进海绵城市建设，加快中心城区雨污分流改造。</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督促各县（市、区）抓紧编制建设实施方案。开展管网排查，积极谋划污水处理设施及配套管网项目并建立项目库。推动城区雨污分流管网改造工程项目建设，2023年完成项目建设总投资20%。多措并举积极争取建设资金，强化沟通协调，保障项目要素提速工程项目建设。加强排水管网日常维护管理，及时发现消除排水设施安全隐患，保障排水安全通畅。强化溯源追查和执法，杜绝工业企业以及餐饮、洗车等生产经营性单位通过雨水口、雨水管网违法排污。</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分管市领导：谢月浩</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部门分工：市住房城乡建设局，云城区政府牵头，市生态环境局、市水务局、市国资委等配合。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68．完成历史建筑、古树名木测绘建档，加强历史文化保护传承。</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深入开展历史建筑测绘建档工作，留存保护信息。对全市已认定公布的113处历史建筑全面进行测绘建档，形成测绘成果。对已认定的城市古树名木全部按标准实行挂牌保护，建立电子信息档案。推进重要古树名木视频监控和保护工程建设，开展古树名木资源监测调查，加强古树名木实时动态管理；开展古树名木自然生长环境治理，加强古树名木健康巡查，及时抢救复壮衰弱濒危古树名木。</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分管市领导：谢月浩、王巍</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部门分工：市住房城乡建设局、市林业局牵头，市文广旅体局，云城区政府等配合。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69．加快建设一批综合公园、口袋公园建设，有效提升城市公园绿地服务半径覆盖率，打造节约高效、绿色宜居、低碳循环、智慧韧性的现代高品质城市。</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工作措施：对中心城区“一河两岸”和公共区域中心、主干道十字路口、各个关键空间节点进行综合改造，建设一批综合公园、口袋公园、街头小景。</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分管市领导：谢月浩</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部门分工：市自然资源局、市住房城乡建设局，云城区政府牵头，市直各部门配合。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70．以水为带统筹云安、郁南两县发展，谋划推动164个总投资2389.6亿元的云浮西江经济带建设项目加快落地。</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加强项目管理，持续完善项目清单，根据实际情况对项目进行动态调整，对符合条件的项目申请纳入省市重点项目计划管理。落实行业主管部门和属地政府责任，协调解决项目落地建设过程中遇到的问题，大力推进在建项目建设进度，指导推进谋划项目前期工作，争取项目尽早实施建设。</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分管市领导：吴泽桐</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部门分工：市发展改革局，云安区政府、郁南县政府牵头，市直各部门，其他县（市、区）政府等配合。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71．全面推进西江堤岸综合整治，优化整合岸线和港口资源，大力发展航运物流、港口贸易、临港制造、生态文旅等产业，着力打造美丽岸线、美丽港口、美丽经济。</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开展全市西江沿岸码头专项整治，按照“清理一批、规范一批、融合一批”方式进行分类处置，规范港口市场经营秩序。推进内河航运高质量发展，引导国内大型港航龙头企业参与我市港口建设，推动云浮港都杨港区云浮综合性公共码头首期工程、云浮港南江口港区鸿业码头等大型港口建设。印发《进一步加强港口岸线资源管理的意见》，优化已有岸线使用效率，进一步改善西江生态环境。</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分管市领导：梁绍雄</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部门分工：市交通运输局，云城区政府、云安区政府、郁南县政府牵头，市生态环境局、市水务局、市商务局、市文广旅体局等配合。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72．主动对接融入“两区”“三平台”发展，支持新兴主动承接珠三角枢纽（广州新）机场辐射，探索建设融湾发展先行示范县、争创全国百强县。</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深化“一园多区”运营模式，加快完善新成工业园省级高新区建设。加快谋划水台空港经济区，主动融入珠三角枢纽（广州新）机场空港经济圈。全力推进广湛高铁新兴段等交通项目建设，加速完善融湾交通体系。聚焦大湾区落实县镇村三级联动招商，力争年内引进1个投资30亿元以上、3个投资10亿元以上的重大项目。</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分管市领导：各副市长</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部门分工：新兴县政府牵头，市直各部门配合。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73．支持罗定抢抓规划建设深南高铁、罗岑铁路和云浮机场等现代交通项目的契机，打造“东融西联”新枢纽。</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加快推进深南高铁、罗岑铁路和云浮机场等项目建设，以此为中心规划完善交通路网，打造立体交通网络。科学规划建设物流、产业园区、旅游景区，主动承接大湾区产业转移，参与大湾区产业布局，加强与广西及西南地区产业对接。大力发展我市优势产业，加快形成产业集群，加大我市生态农业、旅游资源开发，积极联结大西南，全面融入大湾区。</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分管市领导：各副市长</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部门分工：罗定市政府牵头，市直各部门配合。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74．稳步推进云安区和云浮新区融合发展，加快推进罗定、新兴、郁南等县城集聚发展，为云浮经济高质量发展注入强劲动力。</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两区融合发展：推动六都镇和都杨镇打造产城融合发展的城区主中心，优化空间布局，搭建“生态+港口+产业+城区”的空间骨架，进一步做好项目谋划储备，积极有序推动建设发展。支持新区发展汽车零部件、信息技术应用创新等主导产业，打造以生态文旅、餐饮娱乐、行政办公为特色的高端生活功能区。支持云浮新港、广州云浮国际物流港错位发展、良性互动，一体融入西江生态经济带建设。</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新兴县：落实县城“四提”补短板行动，全力打造国家县城新型城镇化建设示范县、创建全国县级文明城市。擦亮省级高新区和“温氏集团”“禅文化”名片，统筹推进新成工业园、“1+7”现代农业产业园、禅文化创意产业园扩能增效，全力打造千亿现代农业产业集群，确保新成工业园工业产值突破150亿元，推动全域旅游恢复正常。深入推进绿美新兴建设，全力创建国家森林城市，争创“绿水青山就是金山银山”实践创新基地，加快农村生活污水治理试点创建工作。</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罗定市：加快《罗定市国土空间规划》修编工作，推动中心城区控制性详细规划全覆盖。改革户口迁移政策，实行全市范围内本地居民户口通迁制度，加快人口向城镇集聚。推进县城“四提”补短板项目建设，稳步推进义务教育、养老医疗、保障性住房等公共服务覆盖城镇常住人口，建成以居住证为基础的基本公共服务保障体系。以空间扩容、项目引进、企业转型升级为重点推进广东罗定产业转移工业园建设，推动高新电子、日用化工、先进装备、生物医药等主导产业向园区集聚、集约发展。</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郁南县：全面拓展城市架构，推动实施三环路、环城东路、S279线郁南县城过境路段改线工程等一批重大项目。谋划建设县城“四馆一中心”，建设完善湖岸景观休闲配套设施，不断提升县城品位和发展空间。统筹提升城市规划治理水平，加大土地整备力度，加快黄皮产业园区土地平整，加快原都城轻工产业园土地用途调整，有效重构县城产业布局。</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分管市领导：各副市长</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部门分工：云安区政府、新兴县政府、罗定市政府、郁南县政府、云浮新区管委会牵头，市直各部门配合。</w:t>
      </w:r>
    </w:p>
    <w:p>
      <w:pPr>
        <w:spacing w:line="560" w:lineRule="exact"/>
        <w:ind w:firstLine="641"/>
        <w:outlineLvl w:val="1"/>
        <w:rPr>
          <w:rFonts w:ascii="楷体" w:hAnsi="楷体" w:eastAsia="楷体" w:cs="仿宋_GB2312"/>
          <w:b/>
          <w:bCs/>
          <w:sz w:val="32"/>
          <w:szCs w:val="32"/>
        </w:rPr>
      </w:pPr>
      <w:r>
        <w:rPr>
          <w:rFonts w:hint="eastAsia" w:ascii="楷体" w:hAnsi="楷体" w:eastAsia="楷体" w:cs="仿宋_GB2312"/>
          <w:b/>
          <w:bCs/>
          <w:sz w:val="32"/>
          <w:szCs w:val="32"/>
        </w:rPr>
        <w:t>（二）以“三镇共建”促镇域振兴。</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75．加快构建以县城镇、中心镇为支撑、卫星镇为基础的镇域经济发展格局，全面促进镇域经济高质量发展。</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全面推进“百县千镇万村高质量发展工程”，立足各镇资源禀赋，理清主导特色产业，聚焦农业现代化、新型工业化、旅游产业化，进一步突出产业特色，构建多元化、多层次的镇域产业体系。持续增强产业支撑能力，配套完善产业链条，引导镇域之间产业联动发展，引导一二三产业集中连片、集聚发展，积极打造镇域经济特色产业经济带。</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分管市领导：吴泽桐</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部门分工：市发展改革局牵头，各县（市、区）政府等配合。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76．持续深化放权赋能强镇，建立“可收可放”的动态管控机制，定期梳理评估市县两级下放权限，积极推动经济管理权限应放尽放、行政处罚权限有需必放，切实做到放得下、接得住、用得好。</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收集梳理行政处罚权调整事项目录，把好行政处罚权事项调整合法性审核关，开展对县级行政处罚权下放镇街的实施情况评估。针对下放事项清单开展事项标准化培训，指导市县两级部门在“广东省政务服务事项管理系统”中做好下放和承接工作。</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分管市领导：各副市长</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部门分工：市政府办公室、市司法局、市政务服务数据管理局牵头，各县（市、区）政府负责，市直各部门配合。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77．创新镇域利益分成、税收返还、生态补偿机制，用好“点状供地”等政策支持，谋划打造一批特色产业集聚区。</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收集各地对乡村振兴产业项目用地的需求情况，建立全市2023年拟实施点状供地项目清单台账。指导各地用足用好点状供地政策，科学合理编制项目实施方案，把点状供地作为推动镇域经济、一二三产业融合、培育农业农村新业态的重要抓手。加强对各地的政策培训和业务指导，推动点状供地政策落地见效。</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分管市领导：谢月浩</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部门分工：市自然资源局，各县（市、区）政府牵头，市工业和信息化局等配合。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78．全面增强乡镇综合服务功能，加强教育、医疗、文化等公共资源配置，积极发展养老、托幼、民宿等生活性服务业，着力打造便捷完善的商业圈、物流圈、服务圈、生活圈。</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云城区：新增公办学位2950个以上，推进18所公办幼儿园改扩建，普惠性学前教育学位占比提高到85%以上。促进教育基金固本增效，加大奖教奖学力度。加快区人民医院易地新建项目（二期）、区第二人民医院（二期）升级改造，引进医疗卫生紧缺人才21人，力争创建省卫生镇1个。</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云安区：加快鲲鹏初级中学、石城镇中心小学等项目建设。完善区医疗废水处理体系建设，升级改造富林镇卫生院，依托省第二人民医院推进区第二人民医院综合能力提升项目建设。以深化文化馆图书馆总分馆制建设为抓手，提升乡镇文化站效能，进一步构建城乡一体化公共文化服务体系，推动1个以上民宿项目试营业。深化居家社区养老服务改革，进一步完善我区居家养老服务体系。</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新兴县：深化放权赋能强镇，持续推动人、财、权等关键要素向镇村下沉，加强圩镇教育、医疗、文化等公共资源配置。因地制宜疏导一批特色产业项目到镇村，纵深拓展县镇村三级电商、物流、商贸体系，优化便民服务网点布局建设，大力发展家政、养老、托幼、康养等服务业。以筠城国际广场、筠州广场、祥利广场、凤凰广场、东街、庙街等为基点构建城市综合商圈。</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罗定市：深化美丽圩镇建设，完善提升圩镇市政道路、排水排污、垃圾处理、农贸市场等基础设施，优化教育、医疗、文化等公共资源配置，培育发展限上商贸企业，打造圩镇便捷的生活圈。积极发展康养产业，进一步优化养老资源配置。</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郁南县：加快推进学位扩容，深入实施“新强师”“三名”工程。加快推进医共体试点工作，加快推动县中医院易地新建等项目建设。积极做好南江文化申报世遗及申报加入海上丝绸之路联盟城市有关工作，争取把磨刀山遗址纳入中华文明复兴工程。持续实施“双百工程”，进一步完善我县居家养老服务体系。</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分管市领导：各副市长</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部门分工：各县（市、区）政府牵头，市直各部门配合。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79．深入推进美丽圩镇“10个1+N”基础设施建设，巩固拓展省美丽圩镇建设试点成果。</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云城区：年内建成“南药之乡·绿色康养”和“浪漫花海·诗意田园”2条乡村振兴示范带。利用腰古城头村、雄强村等红色村庄，谋划一批“红色+绿色”乡村旅游精品线路。加快发展农业科普、民宿、体验式农业旅游、休闲农业等新业态。</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云安区：以建设“一强五美”的美丽圩镇为目标，提档升级圩镇公共服务及基础设施建设，完善圩镇生活污水、生活垃圾治理、卫生公厕设施，大力推进数字圩镇建设，推动公共服务资源向中心圩镇集中布局。强化圩镇风貌管控，深度挖掘山水美景、田园风光、历史人文、红色资源、生态农业底蕴，传承乡韵，微改造特色街区，打造网红打卡点和特色风貌街巷。</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新兴县：纵深推进美丽圩镇“10个1+N”基础设施建设专项行动，力争一半以上圩镇达到“示范圩镇标准”。大力建设乡村振兴“三带”，提质建设已基本建成的2条示范带，加快建设精品带、风貌带。加强农村人居环境整治提升和风貌管控，打造一批垃圾分类示范区、绿色社区、绿色乡村、数字乡村示范点。</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罗定市：巩固美丽圩镇建设经验，继续推进美丽圩镇“10个1+N”基础设施建设。出台相关举措激发夜间消费活力，打造一批汇聚人气、商气、烟火气的圩镇特色街区，形成“文化+旅游”“文化+美食”多元化商圈，用“夜经济”点亮“夜罗定”。挖掘南江文化，擦亮南江文化品牌，抓好水环境、水生态、水文化，打造一批守护水生态、传承水文化、发展水经济的水绿岸清圩镇。</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郁南县：全面梳理圩镇基础设施和公共服务短板，突出抓好交通、产业、教育、医疗、卫生、养老、文体等功能提升工程。深化“放管服”改革，积极创造条件，成熟一批，下放一批。深化财税改革，探索多样的镇级国有经济运营模式。建好“一园三区一带”，全力打造“六大百亿产业”，充分发挥好大湾片区省级危化品生产企业承接园区“宝藏”优势。</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分管市领导：各副市长</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部门分工：各县（市、区）政府牵头，市直各部门配合。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80．扎实开展新时代农房规划建设和风貌管控试点工作，推动圩镇从干净整洁向美丽宜居蝶变。</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选取试点村，开展试点村村庄规划优化提升，落实乡村建设规划许可及带图审批制度，在试点村推广使用装配式建筑，完善配套政策，加快推广应用。盘活试点村存量土地，建立农村闲置土地资源数据库，建设可视化农房建设管理信息平台。开展试点督导评估，总结成功做法和实践经验，形成“云浮样板”。</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分管市领导：王巍</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部门分工：市自然资源局、市农业农村局、市住房城乡建设局，试点村所在镇人民政府（街道办事处）牵头，各县（市、区）人民政府等配合。</w:t>
      </w:r>
    </w:p>
    <w:p>
      <w:pPr>
        <w:spacing w:line="560" w:lineRule="exact"/>
        <w:ind w:firstLine="641"/>
        <w:outlineLvl w:val="1"/>
        <w:rPr>
          <w:rFonts w:ascii="楷体" w:hAnsi="楷体" w:eastAsia="楷体" w:cs="仿宋_GB2312"/>
          <w:b/>
          <w:bCs/>
          <w:sz w:val="32"/>
          <w:szCs w:val="32"/>
        </w:rPr>
      </w:pPr>
      <w:r>
        <w:rPr>
          <w:rFonts w:hint="eastAsia" w:ascii="楷体" w:hAnsi="楷体" w:eastAsia="楷体" w:cs="仿宋_GB2312"/>
          <w:b/>
          <w:bCs/>
          <w:sz w:val="32"/>
          <w:szCs w:val="32"/>
        </w:rPr>
        <w:t>（三）以“三带建设”促乡村振兴。</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81．加快美丽乡村风貌带、美丽乡村精品带和乡村振兴示范带建设，以“带”牵引推动乡村全面振兴。5个县（市、区）年内全面建成2条乡村振兴示范带。</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大力推进“三带”建设三年行动，结合我市现代农业产业园、“四好农村路”、南粤古驿道、万里碧道等建设，连点、连线、成片梯次建设“三带”，积极推进乡村振兴示范带市域闭环互通，推进美丽乡村建设与乡村产业发展有机融合，辐射带动区域内乡村全面振兴，推动乡村共同富裕。</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分管市领导：王巍</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部门分工：市农业农村局牵头，各县（市、区）政府负责。</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82．深入开展农村人居环境综合整治，加快新兴县农村生活污水治理试点创建工作。</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以农村厕所革命、农村生活垃圾污水治理、村容村貌提升、长效管护等为重点，巩固拓展农村人居环境整治三年行动成果。实施《云浮市农村生活污水治理攻坚行动方案（2021-2025年）》，稳步推进农村生活污水治理工作。加强市级统筹，指导各地做好涉农资金、债券等资金保障和用地指标保障。加强协调联动，督促指导各地做好治理。</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分管市领导：王巍</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部门分工：市生态环境局、市农业农村局，新兴县政府牵头，其他县（市、区）政府等配合。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83．全力推动农村供水实现“三同五化”，完成150公里农村公路和村道安防建设。</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建立《云浮市推进农村供水工作联席会议制度》指导督促各地、各有关单位形成合力、协同推进农村供水工作，督促指导各地完成农村供水“三同五化”改造提升工作年度任务。进一步整合涉农和债券资金，以及着力通过引入社会资本解决资金缺口问题。强化饮水工程监管，健全并落实好长效管护机制，抓好水费收缴等工作，确保饮水工程良性运行。积极争取落实上级补助资金，加快推进150公里农村公路和村道安防建设项目前期工作，尽快动工建设。</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分管市领导：梁绍雄、王巍</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部门分工：市水务局、市交通运输局牵头，各县（市、区）政府等配合。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84．加强耕地保护，严厉打击违法占用耕地行为，严守耕地红线。</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逐级签订耕地保护目标责任书，落实各级政府主要负责人对辖区内耕地保有量和永久基本农田保护面积负总责。严格执行耕地占补平衡和“进出平衡”制度，通过加大补充耕地、垦造水田和耕地恢复工作力度，严守耕地红线。强化地方监管主体责任，构建跨部门执法工作平台，坚决遏制新增乱占耕地建房，从严查处各类违法违规占用耕地或改变耕地用途行为，遏制耕地“非农化”、严格管控“非粮化”。做好耕地质量监测。积极推进全国第三次土壤普查工作。</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分管市领导：谢月浩</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部门分工：市自然资源局牵头，各县（市、区）政府负责，市农业农村局等配合。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85．落实粮食安全党政同责和“菜篮子”市长负责制，试点推行田长制，新建改造高标准农田2.34万亩，确保粮食播种面积稳定在153万亩、产量稳定在64万吨以上。</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督导各地不折不扣完成粮食生产目标任务，将完成情况作为推进乡村振兴战略实绩考核的重要内容，强化考核结果运用。全面落实强农惠农政策，积极做好各类粮食补贴资金发放。做好春耕备耕工作。抓好猪肉、家禽、蔬菜、水产品、禽蛋等五大品种的“菜篮子”工程建设。加强日常监管，确保“菜篮子”产品质量安全。大力推动2.34万亩高标准农田建设，其中新建高标准农田1.9万亩，改造提升0.44万亩。</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分管市领导：王巍</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部门分工：市农业农村局牵头，市发展改革局、市自然资源局、市商务局、市市场监管局、市统计局、国家统计局云浮调查队，各县（市、区）政府等配合。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86．加大垦造水田力度，年内形成不少于3000亩水田指标。</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工作措施：成立市垦造水田工作专班，制定方案，落实主体责任，形成有效的工作机制，对标解决项目推进过程中存在的九个方面问题，全力推进垦造水田工作进度，年内形成不少于3000亩水田指标。</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分管市领导：谢月浩</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部门分工：市自然资源局牵头，各县（市、区）政府负责。</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87．借力佛山市的大力帮扶，深入推进驻镇帮镇扶村工作，巩固拓展脱贫攻坚成果同乡村振兴有效衔接，坚决守牢不发生规模性返贫底线。</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健全“两项制度”，建立健全防止返贫监测帮扶机制；紧盯“三类对象”，因人因户分级分类精准施策帮扶；做实“四项排查”，确保监测及时细致全面准确；狠抓“五种帮扶”，持续巩固拓展脱贫攻坚成果，牢牢守住不发生规模性返贫的底线。建立完善乡村振兴驻镇帮镇扶村工作机制，围绕乡村振兴“五个提升”和“九大攻坚行动”，全面推进乡村振兴驻镇帮镇扶村工作。</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分管市领导：王巍</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部门分工：市农业农村局牵头，各县（市、区）政府负责。</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88．深入推进发展壮大村级集体经济攻坚行动，实现全市所有行政村级集体经济收入超15万元，努力让广大农民过上更加美好的生活。</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指导各地农业农村部门按季度督促龙头企业将收益划拨到各收益分配主体，进一步压实镇村发展壮大村级集体经济的主体责任，激发我市农村集体经济活力，推广先进管理经验，不断提高镇村自主发展能力；健全农村集体经济组织运行和监督机制。巩固攻坚行动成果，督促指导各地建立完善农村集体经济收益分配制度，建立和完善集体经济财务管理内部控制机制、农村集体经济审计管理制度机制。</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分管市领导：王巍</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部门分工：市农业农村局牵头，各县（市、区）政府负责。</w:t>
      </w:r>
    </w:p>
    <w:p>
      <w:pPr>
        <w:spacing w:line="560" w:lineRule="exact"/>
        <w:ind w:firstLine="641"/>
        <w:outlineLvl w:val="0"/>
        <w:rPr>
          <w:rFonts w:ascii="黑体" w:hAnsi="黑体" w:eastAsia="黑体" w:cs="仿宋_GB2312"/>
          <w:sz w:val="32"/>
          <w:szCs w:val="32"/>
        </w:rPr>
      </w:pPr>
      <w:r>
        <w:rPr>
          <w:rFonts w:hint="eastAsia" w:ascii="黑体" w:hAnsi="黑体" w:eastAsia="黑体" w:cs="仿宋_GB2312"/>
          <w:sz w:val="32"/>
          <w:szCs w:val="32"/>
        </w:rPr>
        <w:t>六、一体推进学业、就业、创业，持续激活高质量发展的动力源泉</w:t>
      </w:r>
    </w:p>
    <w:p>
      <w:pPr>
        <w:spacing w:line="560" w:lineRule="exact"/>
        <w:ind w:firstLine="641"/>
        <w:outlineLvl w:val="1"/>
        <w:rPr>
          <w:rFonts w:ascii="楷体" w:hAnsi="楷体" w:eastAsia="楷体" w:cs="仿宋_GB2312"/>
          <w:b/>
          <w:bCs/>
          <w:sz w:val="32"/>
          <w:szCs w:val="32"/>
        </w:rPr>
      </w:pPr>
      <w:r>
        <w:rPr>
          <w:rFonts w:hint="eastAsia" w:ascii="楷体" w:hAnsi="楷体" w:eastAsia="楷体" w:cs="仿宋_GB2312"/>
          <w:b/>
          <w:bCs/>
          <w:sz w:val="32"/>
          <w:szCs w:val="32"/>
        </w:rPr>
        <w:t>（一）让学业贯穿终身、覆盖全民。</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89．新增优质学位11650个，引进高层次教育人才170名，稳步推进云浮中学、罗定中学、西江中学、新兴一中收归市管。</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制定并完善学位建设方案，压实县级政府主体责任，统筹安排各级各类基础教育专项资金，强化督导，确保学位建设任务如期完成。制定人才招引方案，落实引进高层次人才目标任务170人。制定四所学校收归市管后的管理方案，明确编制和教职工管理方式、明确招生方式、明确离退休人员管理、明确债务和基础设施建设衔接问题、明确人员工资以及经费保障方式，共同做好四所学校收归市管各项工作。</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分管市领导：徐贤荣</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部门分工：市教育局牵头，各县（市、区）政府等配合。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90．支持创建省高水平中职学校，推进广东云浮中医药职业学院、罗定职业技术学院、云浮技师学院提质培优。</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工作措施：加强与省沟通联系，争取省在政策和资金上支持。加大资金投入，督促指导学校按照高水平中职学校建设任务书的要求如期推进。推进云浮技师学院提质扩容工程建设，积极创建高水平技师学院。</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分管市领导：谢月浩、徐贤荣</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部门分工：市教育局、市人力资源社会保障局牵头，市直各部门，新兴县政府、罗定市政府等配合。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91．加快广东药科大学云浮校区三期建设，办好“家门口的大学”。</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工作措施：加快落实建设资金，推进建设用地划拨，督促市新达公司尽快按照有关程序做好工程和监理的招投标准备工作。</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分管市领导：徐贤荣</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部门分工：市教育局牵头，广东药科大学云浮校区配合。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92．坚持教育社会化、社会教育化，一体推进家庭教育、社区教育、老年教育、乡村振兴教育、数字化教育。</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工作措施：依托职业院校、开放大学、老年大学、老干部大学、社区活动中心、文化技术学校积极开展家庭教育、社区教育、老年教育等全民终身教育。举办云浮市全民终身学习活动周。</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分管市领导：徐贤荣</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部门分工：市教育局牵头，市民政局、市农业农村局、市政务服务数据管理局，各县（市、区）政府等配合。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93．大力建设书香云浮，推动全民阅读向纵深发展。</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以群众需求为导向，开展群众喜闻乐见的全民阅读品牌活动。发挥公共图书馆在全民阅读中主阵地作用，组织开展2023年粤读越精彩系列阅读活动。落实图书馆、文化站等公共文化服务机构免费开放服务。推动全民阅读与全域旅游深度融合，推进县级图书馆总分馆制建设、粤书吧建设。推进智慧图书馆建设，开展数字资源阅读推广，满足群众数字阅读需求。聚焦农村留守儿童、外来务工人员、老年人、残疾人等特别群体的阅读服务。</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分管市领导：徐贤荣</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部门分工：市文广旅体局牵头，各县（市、区）政府等配合。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94．深入实施人才“云聚”强市工程，全面实施“六大攻坚行动”，大力引进一批急需紧缺高层次人才，新建博士工作站4个，引进镇域经济发展紧缺人才95名，招募“三支一扶”大学生230名，让各类人才在云浮有机会、有空间、有舞台。</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制定《云浮市2023年机关事业单位紧缺人才招聘实施方案》，引进机关事业单位紧缺人才200名，引进中医药（南药）产业人才100名，柔性引进医学、教育、金融、工程技术等领域高端人才300名。用好用活“广东特支计划”“珠江人才计划”“扬帆计划”等省级人才工程，在全市镇（街道）事业单位引进95名经济、财政、金融、城乡规划、旅游、中医药等专业的镇域经济发展紧缺专业人才，招募230名高校毕业生到基层开展服务。推进乡村振兴人才驿站建设，新建博士工作站4个。</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分管市领导：谢月浩</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部门分工：市人力资源社会保障局牵头，市工业和信息化局、市科技局、市教育局、市卫生健康局、市中医药局，各县（市、区）政府等配合。</w:t>
      </w:r>
    </w:p>
    <w:p>
      <w:pPr>
        <w:spacing w:line="560" w:lineRule="exact"/>
        <w:ind w:firstLine="641"/>
        <w:outlineLvl w:val="1"/>
        <w:rPr>
          <w:rFonts w:ascii="楷体" w:hAnsi="楷体" w:eastAsia="楷体" w:cs="仿宋_GB2312"/>
          <w:b/>
          <w:bCs/>
          <w:sz w:val="32"/>
          <w:szCs w:val="32"/>
        </w:rPr>
      </w:pPr>
      <w:r>
        <w:rPr>
          <w:rFonts w:hint="eastAsia" w:ascii="楷体" w:hAnsi="楷体" w:eastAsia="楷体" w:cs="仿宋_GB2312"/>
          <w:b/>
          <w:bCs/>
          <w:sz w:val="32"/>
          <w:szCs w:val="32"/>
        </w:rPr>
        <w:t>（二）让就业更加充分、更高质量。</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95．依托现代农业产业园，支持温氏等农业龙头和劳动密集型企业设立乡村就业车间，加大就业困难人员帮扶力度，开发一批公益性岗位，促进农民就地就近就便就业。</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开发400个以上安置类公益性岗位，兜底安置就业困难人员。线上通过门户网站、微信公众号、粤政易工作群等媒体进行宣传，线下利用产业园、产业强镇、农村创业创新园区（孵化实训基地）等线下载体的集聚效应，开展政策宣传活动。组织企业参加“建行杯”广东省农村创业创新大赛，抓好创业创新优秀带头人典型案例的宣传推广，在广大农村积极营造良好氛围，有效增强优秀青年返乡创业就业信心。</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分管市领导：谢月浩</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部门分工：市人力资源社会保障局、市农业农村局牵头，各县（市、区）政府等配合。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96．优化调整援企稳岗扩就业政策，落细落实“促进就业九条”3.0版，重点加大对服务业、小微企业、个体工商户支持力度，留住更多岗位。</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优化调整援企稳岗扩就业政策，落细落实“促进就业九条”3.0版，全面实施一揽子稳就业、保就业政策措施，落实社会保险补贴、岗位补贴等吸纳就业补贴政策，加强对服务业、小微企业、个体工商户用工保障服务，减轻企业用工成本，充分释放助企纾困政策红利，支持企业稳定岗位、吸纳就业。</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分管市领导：谢月浩</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部门分工：市人力资源社会保障局牵头，各县（市、区）政府等配合。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97．支持鼓励居家就业、非全日制就业等灵活就业方式，千方百计增加群众收入。</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工作措施：大力发展零工驿站服务灵活就业人员，支持发展新经济新业态吸纳就业，推广“居家就业”模式，发掘更多适合本地劳动力就业的劳务品牌。</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分管市领导：谢月浩</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部门分工：市人力资源社会保障局牵头，各县（市、区）政府等配合。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98．积极与大湾区城市开展跨区域劳务协作，真正让劳动力“就业有路、路路畅通”。</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工作措施：通过搭建劳务合作信息共享机制，定期与湾区城市交流用人单位招聘信息及劳动者求职信息，实现劳务信息资源共享，促进两地劳动力资源合理流动。</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分管市领导：谢月浩</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部门分工：市人力资源社会保障局牵头，各县（市、区）政府等配合。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99．持续深入开展大规模职业技能培训和职业技能等级评定，深入实施“粤菜师傅”“广东技工”“南粤家政”三项工程，全年培训1.38万人次以上。</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强化技能人才培育，全年开展“粤菜师傅”培训800人次以上，补贴性职业技能培训8000人次以上，开展“南粤家政”服务类培训5000人次以上。全面推行职业技能等级制度，持续优化“云技课堂”培训平台，进一步提升培训质量。依托“南粤家政”培训基地和综合服务示范基地，推动职业院校、职业培训机构大规模开展家政服务相关技能培训，引导脱贫人员、农村劳动力等重点群体参与家政服务培训。</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分管市领导：谢月浩</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部门分工：市人力资源社会保障局牵头，市“粤菜师傅”“广东技工”“南粤家政”三项工程领导小组各成员单位，各县（市、区）政府等配合。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100．坚持市场化导向、职业化方向、专业化取向，培育一批职业经理人。</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完善公共就业服务体系，发挥人力资源服务机构作用，定期更新发布职业经理人供需信息，为企业选聘职业经理人做好信息支撑。充分发挥行业协会桥梁纽带作用和企业在职业经理人培育主导作用，以政府引导、企业自主培训、市场化培训相结合的方式，积极开展职业经理人培训。积极推动用人单位开展企业人力资源管理师职业技能等级认定。</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分管市领导：谢月浩</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部门分工：市人力资源社会保障局牵头，各县（市、区）政府等配合。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101．全年城镇新增就业1.8万人以上，城镇登记失业率控制在3.5%的目标范围内。</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积极搭建供需对接平台，举办多频次、多样化的现场招聘、直播带岗等招聘活动，围绕镇域经济、园区经济等，举办特色鲜明的镇（村）招聘活动、园区招聘活动，保障企业用工。聚焦脱贫劳动力、退役军人、高校毕业生等群体，举办各类专场招聘活动，促进更加充分更高质量就业。2023年城镇新增就业1.8万人以上，城镇登记失业率控制在3.5%的目标范围内。</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分管市领导：谢月浩</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部门分工：市人力资源社会保障局牵头，各县（市、区）政府等配合。</w:t>
      </w:r>
    </w:p>
    <w:p>
      <w:pPr>
        <w:spacing w:line="560" w:lineRule="exact"/>
        <w:ind w:firstLine="641"/>
        <w:outlineLvl w:val="1"/>
        <w:rPr>
          <w:rFonts w:ascii="楷体" w:hAnsi="楷体" w:eastAsia="楷体" w:cs="仿宋_GB2312"/>
          <w:b/>
          <w:bCs/>
          <w:sz w:val="32"/>
          <w:szCs w:val="32"/>
        </w:rPr>
      </w:pPr>
      <w:r>
        <w:rPr>
          <w:rFonts w:hint="eastAsia" w:ascii="楷体" w:hAnsi="楷体" w:eastAsia="楷体" w:cs="仿宋_GB2312"/>
          <w:b/>
          <w:bCs/>
          <w:sz w:val="32"/>
          <w:szCs w:val="32"/>
        </w:rPr>
        <w:t>（三）让创业更多机会、更有底气。</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102．强化创业政策激励，落实创业担保贷款及贴息、一次性创业资助、创业租金补贴、创业带动就业补贴等支持政策。</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优化创业支持政策，发挥政府主导作用，降低创业门槛、优化创业环境、拓展创业空间，为创业提供政策扶持。推动各项就业创业补贴、创业担保贷款等扶持政策落地落实，加快推进落实促进就业创业、乡村振兴的特色措施，加大返乡创业扶持力度，对符合条件的企业和劳动者实现应享尽享、应补尽补。</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分管市领导：谢月浩</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部门分工：市人力资源社会保障局牵头，市金融工作局，各县（市、区）政府等配合。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103．充分发挥青年就业创业、乡村振兴发展等各类金融类基金（资金）作用，整合撬动15亿元以上资金，切实解决产业发展和创业“融资难、融资贵”问题，推动就业创业工作向纵深发展。</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充分运用现有政府金融基金（资金）平台作用，优化流程和服务，为产业发展和就业创业贷款提供应急转贷、担保增信、风险补偿、贴息补助、股权投资等服务，撬动更多的银行资金支持产业发展和就业创业。</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分管市领导：吴泽桐</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部门分工：市金融工作局牵头，市科技局、市工业和信息化局、市人力资源社会保障局、市农业农村局、市国资委、团市委，各县（市、区）政府等配合。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104．加强知识产权保护和成果转化。</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工作措施：提高知识产权保护工作法治化水平，推动严保护重点工作；强化知识产权全链条保护，构建大保护工作格局；深化保护工作机制改革，推动快保护机制建设；健全涉外沟通合作，推动同保护重点工作。</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分管市领导：梁东海</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部门分工：市市场监管局牵头，各县（市、区）政府等配合。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105．完善创业孵化机制，提供“一站式”创业孵化服务，切实提高创业成功率。</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推动每个县（市、区）建成1个以上的创业孵化基地，打造一批创业孵化基地、众创空间等创业平台。结合返乡创业、高校毕业生、妇女等群体的需求特点开展创业培训，切实提高创业成功率。充分发挥创业孵化基地培育创业项目作用，为创业者提供场地保障、项目推介、项目对接、融资担保等一站式创业孵化服务。</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分管市领导：谢月浩</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部门分工：市人力资源社会保障局牵头，各县（市、区）政府等配合。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106．建立乡贤回归创业园，支持“回巢”创业。</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加强创业孵化载体建设，在创业孵化基地基础上打造乡贤回归创业园，开展“一站式”“菜单式”返乡创业服务，为返乡创业者提供高效便捷服务。宣传推介返乡创业成功案例，激发返乡创业热情；支持我市优秀项目参加省“众创杯”大赛，持续办好“乡村振兴杯”创新创业大赛等各类大赛，促进创业项目与创投资本、创业创新政策、创业服务的有效对接，促进大众创业、万众创新。</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分管市领导：谢月浩</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部门分工：市人力资源社会保障局牵头，各县（市、区）政府等配合。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107．发扬工匠精神，持续办好“乡村振兴杯”等各类职业技能大赛、劳动竞赛。</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强化工匠先进典型宣传引导，推动将劳动精神、劳模精神、工匠精神融入到学生培养、技能竞赛中来，进一步加强学生思想教育和技能教育。举办云浮市第二届职业技能大赛、第五届“云浮名厨”技能大赛等市级赛事，弘扬劳模精神和工匠精神，引领人才走技能就业之路。</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分管市领导：谢月浩</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部门分工：市人力资源社会保障局牵头，市科技局、市市场监管局，各县（市、区）政府等配合。</w:t>
      </w:r>
    </w:p>
    <w:p>
      <w:pPr>
        <w:spacing w:line="560" w:lineRule="exact"/>
        <w:ind w:firstLine="641"/>
        <w:outlineLvl w:val="0"/>
        <w:rPr>
          <w:rFonts w:ascii="黑体" w:hAnsi="黑体" w:eastAsia="黑体" w:cs="仿宋_GB2312"/>
          <w:sz w:val="32"/>
          <w:szCs w:val="32"/>
        </w:rPr>
      </w:pPr>
      <w:r>
        <w:rPr>
          <w:rFonts w:hint="eastAsia" w:ascii="黑体" w:hAnsi="黑体" w:eastAsia="黑体" w:cs="仿宋_GB2312"/>
          <w:sz w:val="32"/>
          <w:szCs w:val="32"/>
        </w:rPr>
        <w:t>七、推进绿美云浮生态建设，持续厚植高质量发展的鲜明底色</w:t>
      </w:r>
    </w:p>
    <w:p>
      <w:pPr>
        <w:spacing w:line="560" w:lineRule="exact"/>
        <w:ind w:firstLine="641"/>
        <w:outlineLvl w:val="1"/>
        <w:rPr>
          <w:rFonts w:ascii="楷体" w:hAnsi="楷体" w:eastAsia="楷体" w:cs="仿宋_GB2312"/>
          <w:b/>
          <w:bCs/>
          <w:sz w:val="32"/>
          <w:szCs w:val="32"/>
        </w:rPr>
      </w:pPr>
      <w:r>
        <w:rPr>
          <w:rFonts w:hint="eastAsia" w:ascii="楷体" w:hAnsi="楷体" w:eastAsia="楷体" w:cs="仿宋_GB2312"/>
          <w:b/>
          <w:bCs/>
          <w:sz w:val="32"/>
          <w:szCs w:val="32"/>
        </w:rPr>
        <w:t>（一）实施绿美提升工程。</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108．深入推进国家生态文明建设示范市、国家森林城市创建工作。</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组织编制我市生态文明建设规划，从生态制度、生态安全、生态空间、生态经济、生态生活、生态文化六大方面，高位统筹推进国家生态文明建设示范市创建工作，努力创建以绿色发展引领的国家生态文明建设示范市。促进我市创森工作全面提速，倒排任务，挂图作战，找准短板突破攻坚，严格按照时间节点推进各项创建工作。</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分管市领导：王巍</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部门分工：市林业局、市生态环境局牵头，市直各部门，各县（市、区）政府等配合。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109．全面落实林长制，加强森林抚育和封山育林，新建高质量水源林4.97万亩，新造森林抚育4.74万亩。</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落实林长制专项工作经费，强化油茶低造和新改、生态公益林效益补偿金和天然林补助资金支出进度。科学选择生态区位重要和生态环境脆弱地区造林地，大力营造优良乡土阔叶树混交林，大力推动春季造林，加大森林抚育频次，推进“落地上图”管理，提升信息化管理水平。</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分管市领导：王巍</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部门分工：市林业局牵头，各县（市、区）政府负责。</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110．分批分类改造低质低效林以及桉树纯林，高标准完成林分优化提升10万亩、森林抚育提升10万亩。</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加强桉树采伐更新改造管理，拓宽资金投入渠道，全面推行“先造林后补助”管理模式，加强良种基地和保障性苗圃建设，提升造林苗木供应能力，大力营造优良乡土阔叶混交林，增加中幼林抚育频次和强度，加强绿化施工管理，推进造林成果落地上图。</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分管市领导：王巍</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部门分工：市林业局牵头，各县（市、区）政府负责。</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111．建设森林景观林带30公里、森林步道50公里。</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加强抚育、补植，完善提升原有生态景观林带质量。加强规划设计，利用自然公园浏览步道、网红户外徒步山野小径，对坡度大的实行就地取材用石头木板搭建，保持森林步道原野性，突出重点，重点建设古村落、历史遗迹、自然公园的连接性步道。</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分管市领导：王巍</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部门分工：市林业局牵头，各县（市、区）政府负责。</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112．创建森林小镇1个、森林乡村20个，建设绿美古树乡村3个、绿美红色乡村2个，着力营造高品质的绿美城乡人居环境。</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工作措施：加强村庄自然生态风貌保护，开展乡村四旁地、宜林山地绿化，深入发掘乡村红色历史及生态文化，开展生态保护知识宣传，加强村庄古树名木保护。</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分管市领导：王巍</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部门分工：市林业局牵头，各县（市、区）政府负责。</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113．加快南方大径级、珍贵树种木材储备基地建设。</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工作措施：按市场化机制运作全面推进国家储备林建设，建设大径材培育基地，大力营造珍贵树木混交林。</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分管市领导：王巍</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部门分工：市林业局牵头，各县（市、区）政府等配合。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114．大力发展森林旅游、森林康养、林下经济等新业态，开发一批具有云浮特色的生态文化产品，办好佛荔节、肉桂节、黄皮节、梅花节、樱花节等主题生态文化节活动，增强绿美云浮的经济效益、社会效益、文化效益。</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加强林下经济示范基地建设，积极培育新型经营主体，充分发挥龙头企业和林下经济示范基地示范带动作用，打造提升一批森林旅游特色线路、森林旅游新兴品牌地和森林人家。大力发展森林旅游，推动“森林+文旅体”业态融合，开展森林徒步等系列活动，培育森林生态文旅产品。</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分管市领导：王巍</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部门分工：市林业局牵头，市农业农村局、市文广旅体局，各县（市、区）政府等配合。</w:t>
      </w:r>
    </w:p>
    <w:p>
      <w:pPr>
        <w:spacing w:line="560" w:lineRule="exact"/>
        <w:ind w:firstLine="641"/>
        <w:outlineLvl w:val="1"/>
        <w:rPr>
          <w:rFonts w:ascii="楷体" w:hAnsi="楷体" w:eastAsia="楷体" w:cs="仿宋_GB2312"/>
          <w:b/>
          <w:bCs/>
          <w:sz w:val="32"/>
          <w:szCs w:val="32"/>
        </w:rPr>
      </w:pPr>
      <w:r>
        <w:rPr>
          <w:rFonts w:hint="eastAsia" w:ascii="楷体" w:hAnsi="楷体" w:eastAsia="楷体" w:cs="仿宋_GB2312"/>
          <w:b/>
          <w:bCs/>
          <w:sz w:val="32"/>
          <w:szCs w:val="32"/>
        </w:rPr>
        <w:t>（二）筑牢绿美生态屏障。</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115．全力推进中央生态环境保护督察反馈问题整改落实，坚决打好打赢污染防治攻坚战。加强大气污染防治，完成省下达各项空气质量目标任务。</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紧盯中央生态环境保护督察反馈问题、典型案例和交办信访案件整改工作不放松、不停顿、不懈怠，定期调度、研判分析整改工作进展情况，推动督察整改工作持续加快推进。落实2023年大气污染防治工作，推进重点工业领域深度治理，加强涉VOCs问题整治；强化移动源污染排放控制，开展用车大户检查和路检执法工作；提升面源精细化管控水平，治理城市扬尘污染和强化露天焚烧管控；强化空气质量研判工作，科学应对污染天气。</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分管市领导：王巍</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部门分工：市生态环境局牵头，各县（市、区）政府等配合。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116．纵深推进河长制、湖长制，强化水生态治理，确保国考、省考断面优良比例达到100%。</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实施岸上水里系统治理，补齐生活污水收集处理短板，强力推进饮用水水源地环境问题整治、入河排污口整治等重点工作，强化农业面源污染防治、工业污染治理，持续扩大提升水环境治理成果。按照“一廊三带”空间布局，结合乡村振兴、古驿道、绿道规划，扎实推进30公里碧道建设。开展一年两次的清漂专项行动，对各类水域的水面漂浮物进行全覆盖、无死角的清理。持续深入推进河湖“清四乱”常态化规范化。继续全面摸清和清理整治河湖管理范围内“四乱”突出问题，发现一处、清理一处、销号一处。持续改善河湖面貌，不断建立健全河湖管理保护长效机制。</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分管市领导：王巍</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部门分工：市河长办、市生态环境局牵头，各县（市、区）政府负责。</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117．加快西江干流治理工程（云浮段）建设，完成24宗病险水库除险加固。</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加快完成用地报批资料组卷及报批工作。优化施工组织方案，抢抓低水位时间节点，合理安排施工作业面，加大施工人员、设备投入，在保证工程质量及施工安全前提下，全力加快工程建设。压紧压实各级主体责任，狠抓安全生产责任落实，切实筑牢安全生产防线。加强项目投资造价控制，严格把关设计变更程序，有序推进工程验收各项工作，确保工程项目质量可靠、施工安全有保障、投资造价不超概。</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分管市领导：王巍</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部门分工：市水务局牵头，市自然资源局，各县（市、区）政府等配合。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118．加快推进小水电分类整改，年内退出17宗、整改390宗。</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工作措施：全面落实小水电站生态流量工作，纳入广东省小水电生态流量监管平台监管。对审批手续不齐全的，结合实际情况完善有关手续；依法依规应处罚的，须在办理手续前依法处罚到位。</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分管市领导：王巍</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部门分工：市水务局牵头，各县（市、区）政府等配合。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119．完成全市水网建设规划、南江综合治理规划编制。</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成立规划工作领导小组，组织对规划重大技术问题开展讨论，召开工作座谈会，深入开展实地调研，摸清规划建设需求，把握编制工作重点，积极主动听取社会各方意见建议，开展规划项目复勘复察、完善规划报告及专家评审等验收工作。</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分管市领导：王巍</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部门分工：市水务局牵头，各县（市、区）政府等配合。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120．全面推进生活垃圾分类处理，稳步推进新兴、郁南两个循环经济环保项目动工。</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加快垃圾分类收运处理设施建设，配齐垃圾分类收集运输车辆，加快推进厨余垃圾处理设施运营，确保分类收集后的各类垃圾得到有效规范处置。接洽有害垃圾处理处置单位，落实有害垃圾处理去向，确保有害垃圾得到安全、规范处置。全力统筹推进新兴县和郁南县循环经济环保项目建设，倒排工期，细化任务，列出清单，挂图作战，抢抓有利时机，推动项目早日建成使用，提高生活垃圾焚烧占比。</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分管市领导：谢月浩、王巍</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部门分工：市住房城乡建设局，新兴县政府、郁南县政府牵头，其他县（市、区）政府等配合。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121．完善47个自然保护地规划、考察和勘界立标等基础工作，加快建立自然保护地体系，让家园更绿更美。</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积极争取项目资金，落实责任，开展全市47个自然保护地总体规划、科学考察、范围边界矢量化数据制作和勘界立标等基础工作。进一步完善管理机构，落实人员，协调联动，加快建立自然保护地体系，强化自然保护地管护力度，让家园更绿更美。</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分管市领导：王巍</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部门分工：市林业局牵头，各县（市、区）政府负责。</w:t>
      </w:r>
    </w:p>
    <w:p>
      <w:pPr>
        <w:spacing w:line="560" w:lineRule="exact"/>
        <w:ind w:firstLine="641"/>
        <w:outlineLvl w:val="1"/>
        <w:rPr>
          <w:rFonts w:ascii="楷体" w:hAnsi="楷体" w:eastAsia="楷体" w:cs="仿宋_GB2312"/>
          <w:b/>
          <w:bCs/>
          <w:sz w:val="32"/>
          <w:szCs w:val="32"/>
        </w:rPr>
      </w:pPr>
      <w:r>
        <w:rPr>
          <w:rFonts w:hint="eastAsia" w:ascii="楷体" w:hAnsi="楷体" w:eastAsia="楷体" w:cs="仿宋_GB2312"/>
          <w:b/>
          <w:bCs/>
          <w:sz w:val="32"/>
          <w:szCs w:val="32"/>
        </w:rPr>
        <w:t>（三）走好绿色发展新路。</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122．深入推进省生态产品价值实现机制试点工作，探索开展国家储备林建设和碳汇、碳普惠、排污权等生态资源权交易，大力发展绿色矿产资源经济和清洁能源产业。</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健全生态产品价值实现机制，编制实施《云浮市生态产品价值实现机制试点建设实施方案》。谋划推进一批重大清洁能源项目，加快构建现代能源经济产业集群，打造粤港澳大湾区重要绿色能源供应基地。探索国家储备林贷款贴息机制，吸纳社会资本投资储备林建设。抓好林业碳汇交易项目储备，充分挖掘林业碳汇的潜力，结合实际筛选森林营造和森林经营的项目，建立林业碳汇交易项目储备库，加大森林碳汇交易宣传。</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分管市领导：吴泽桐、王巍</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部门分工：市发展改革局、市林业局牵头，市直各部门，各县（市、区）政府等配合。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123．科学有序推进矿产资源绿色开发，加快牛栏坑等矿山采矿权出让工作，力争年内出让收益达到100亿元以上。</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强化矿产规划引领，整体谋划全市矿产资源开发利用，把握资源、区位优势，抓紧年度采矿权出让计划编制实施，主动谋划设置采矿权。压实属地政府责任，厘清权属，强化采矿用地保障，确保拟设矿区达“净矿”出让条件。加强对各地出让工作的指导，细化矿山开发路线图，依法依规推进采矿权出让。</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分管市领导：谢月浩</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部门分工：市自然资源局牵头，各县（市、区）政府负责。</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124．持续优化能源结构，推动华润西江发电厂建成投产，加快云浮水源山抽水蓄能电站、云河发电公司天然气热电联产、天然气主干管道“县县通”等项目建设，谋划推进华润西江发电厂二期、粤泷发电厂二期以及郁南大旱、罗定甘垌、新兴西水抽水蓄能电站等一批重大能源项目。</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加快能源重大项目建设工作，按照2023年6月30日第一台机组投产的目标加快做好华润西江发电厂工程建设工作。加快云河发电公司天然气热电联产项目、云浮水源山抽水蓄能电站项目建设；推动粤电云河专线、“县县通工程”茂名-云安工程以及云浮-新兴天然气管道项目于2023年内完工。强化政企协同，加强与上级部门沟通协调，争取将更多能源项目纳入国家和省有关建设规划当中。</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分管市领导：吴泽桐</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部门分工：市发展改革局牵头，各县（市、区）政府负责。</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125．强化能源消耗总量和强度调控，实施节能降碳行动，倡导绿色低碳生活方式，积极稳妥推进碳达峰碳中和。</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统筹协调节能目标责任评价考核工作，指导实施能源消费总量和强度双控行动。强化节能审查源头把关，严格项目节能审查，切实发挥节能审查制度的源头把控作用，强化新建项目对能耗双控影响评估和用能指标来源审查。强化节能监察执法，制定年度节能监察工作计划。继续推进实施《云浮市绿色生活创建行动工作方案》，引导民众树立绿色增长、共建共享的理念，推动形成绿色发展方式和生活方式。推动印发《云浮市碳达峰实施方案》，加快发展方式绿色转型。</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分管市领导：吴泽桐</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部门分工：市发展改革局牵头，各县（市、区）政府负责，市直各部门配合。</w:t>
      </w:r>
    </w:p>
    <w:p>
      <w:pPr>
        <w:spacing w:line="560" w:lineRule="exact"/>
        <w:ind w:firstLine="641"/>
        <w:outlineLvl w:val="0"/>
        <w:rPr>
          <w:rFonts w:ascii="黑体" w:hAnsi="黑体" w:eastAsia="黑体" w:cs="仿宋_GB2312"/>
          <w:sz w:val="32"/>
          <w:szCs w:val="32"/>
        </w:rPr>
      </w:pPr>
      <w:r>
        <w:rPr>
          <w:rFonts w:hint="eastAsia" w:ascii="黑体" w:hAnsi="黑体" w:eastAsia="黑体" w:cs="仿宋_GB2312"/>
          <w:sz w:val="32"/>
          <w:szCs w:val="32"/>
        </w:rPr>
        <w:t>八、大力增进人民福祉，持续彰显高质量发展的民生温度</w:t>
      </w:r>
    </w:p>
    <w:p>
      <w:pPr>
        <w:spacing w:line="560" w:lineRule="exact"/>
        <w:ind w:firstLine="641"/>
        <w:outlineLvl w:val="1"/>
        <w:rPr>
          <w:rFonts w:ascii="楷体" w:hAnsi="楷体" w:eastAsia="楷体" w:cs="仿宋_GB2312"/>
          <w:b/>
          <w:bCs/>
          <w:sz w:val="32"/>
          <w:szCs w:val="32"/>
        </w:rPr>
      </w:pPr>
      <w:r>
        <w:rPr>
          <w:rFonts w:hint="eastAsia" w:ascii="楷体" w:hAnsi="楷体" w:eastAsia="楷体" w:cs="仿宋_GB2312"/>
          <w:b/>
          <w:bCs/>
          <w:sz w:val="32"/>
          <w:szCs w:val="32"/>
        </w:rPr>
        <w:t>（一）加快平安云浮建设。</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126．建立健全扫黑除恶斗争常态化长效机制，深入开展电信诈骗、黄赌毒、盗窃等突出违法犯罪问题专项整治，依法处理信访违法行为，高质量建成未成年人专门学校。</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常态化开展扫黑除恶斗争工作，推进行业领域源头综合治理，深入开展《反有组织法》宣贯工作。依托联席办主导作用，充分调动各成员单位、各镇街党委政府积极性，压实各职能部门的宣传防范工作责任。重拳打击电信网络诈骗犯罪，深入打击治理“两卡”犯罪，全力推进精准预警劝阻工作。深入开展扫黄禁赌和清风2023专项行动，依法严厉打击黄赌违法犯罪行为。优化禁毒宣传模式，提升毒品犯罪打击效能，严格吸毒人员分级分类管控，重点针对新型毒品及依托咪酯吸贩网络实施集群打击。将破小案工作作为重点工作，重点打击涉盗窃等突出违法犯罪。加快推进市方正学校（暂名）建设，力争2月底前完成施工。</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分管市领导：谢超武、徐贤荣</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部门分工：市公安局、市教育局牵头，各县（市、区）政府等配合。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127．落实“金融16条”等政策，加强高风险银行机构不良资产清收处置工作，严厉打击逃废债，防范和处置非法集资，强化“问题楼盘”风险管控，坚决防范化解房地产市场风险和系统性金融风险。</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重点督导罗定和郁南两家农商行加快处置不良资产，建立高效沟通协调机制，加大对赖债户的资金穿透力度，多措并举提升“以打促收”成效。强化金融风险监管责任，密切关注高风险银行机构各项监管指标变动和潜在的风险隐患，指导银行机构稳妥有序压降风险。强化源头管控，加强监测预警，坚持打防结合、疏堵并举，对非法集资违法犯罪持续保持高压严打态势，切实守护群众“钱袋子”。全力防范化解我市房地产领域重大风险，积极推动社会矛盾化解，防止房地产领域风险转化为系统性金融风险、从民生领域风险转化为社会稳定风险，维护社会大局稳定，促进房地产平稳健康发展。压紧压实各地主体责任、部门监管责任和企业主体责任，落细落实“一盘一策”工作方案，推动全市30宗登记在册的问题楼盘风险等级由高转中，由中转低，逐步完成交付，有效化解风险，并遏制问题楼盘增量。加强对“金融16条”等政策的宣传贯彻，积极推动金融机构与房地产行业企业开展融资对接，并大力支持我市房地产市场平稳健康发展。</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分管市领导：吴泽桐、谢月浩</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部门分工：市住房城乡建设局、市金融工作局牵头，市清收农商行逃废债专项工作领导小组成员单位，各县（市、区）政府等配合。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128．加快建立网络、系统、数据、等保、密评、信创“六位一体”数字政府网络安全保障体系，打造数字安全防线。</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依托工信部电子五所专业咨询团队，顶层设计我市数字政府网络安全体系工作规划，以法律标准为纲领，以安全工具为基座、以能力建设为目标，形成网络安全与数字化同步规划、同步建设、同步运营“三同步”，按核心、重要和一般的分类分级防护总体思路，从政务网络、政务应用、政务数据、等保测评、商密安全和深化信创6个领域开展工作，推进数字政府总体安全管理能力不断提高、安全防护效果持续优化、安全运营能力不断完善，逐步构建数字政府“六位一体”网络安全体系。</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分管市领导：吴泽桐</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部门分工：市政务服务数据管理局牵头，市直各部门，各县（市、区）政府等配合。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129．扎实开展道路交通、建筑施工、危险化学品、食品药品、自建房、城镇燃气、非煤矿山、工贸、校园安全等重点行业领域隐患排查和专项整治，坚决遏制重特大事故发生。</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深化推进安全生产大走访、大排查、大整治、大提升行动，常态化落实安全风险分级分类管控，重点抓好“企业三级责任制”落实行动和“两电一容”等专项整治，全面推进落实“一周一线一检查”工作要求，积极推进应急管理综合行政执法改革，持续推进安全宣传“五进”工作，全力维护全市安全形势持续稳定向好。</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分管市领导：吴泽桐</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部门分工：市应急管理局牵头，市安委会各成员单位，各县（市、区）政府等配合。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130．加快推进省级气象预警预报业务备份中心、森林消防训练基地、防灾减灾救灾物资储备基地等项目建设，完成云浮国家气象观测站搬迁，推动实现乡村（社区）防灾减灾“十个有”全覆盖，构建全域联动、立体高效的应急救援体系。</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强化应急管理信息化建设，加快推进基层应急管理改革“四个整合”，实现全市乡村（社区）防灾减灾“十个有”全覆盖。谋划建设市级防灾减灾救灾物资储备基地项目，推进全市综合应急救援能力建设。加快推动省级气象预警预报业务备份中心纳入气象部门2024年气象台站基建项目库，争取2023年底完成云浮国家气象观测站搬迁工作。</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分管市领导：吴泽桐、王巍</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部门分工：市应急管理局、市气象局牵头，各县（市、区）政府等配合。</w:t>
      </w:r>
    </w:p>
    <w:p>
      <w:pPr>
        <w:spacing w:line="560" w:lineRule="exact"/>
        <w:ind w:firstLine="641"/>
        <w:outlineLvl w:val="1"/>
        <w:rPr>
          <w:rFonts w:ascii="楷体" w:hAnsi="楷体" w:eastAsia="楷体" w:cs="仿宋_GB2312"/>
          <w:b/>
          <w:bCs/>
          <w:sz w:val="32"/>
          <w:szCs w:val="32"/>
        </w:rPr>
      </w:pPr>
      <w:r>
        <w:rPr>
          <w:rFonts w:hint="eastAsia" w:ascii="楷体" w:hAnsi="楷体" w:eastAsia="楷体" w:cs="仿宋_GB2312"/>
          <w:b/>
          <w:bCs/>
          <w:sz w:val="32"/>
          <w:szCs w:val="32"/>
        </w:rPr>
        <w:t>（二）加快健康云浮建设。</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131．支持市人民医院建设“广东省高水平医院”、市中医院打造“粤北最好的中医院”、市妇幼保健院创建“三甲”医院，加快市级精神卫生体系升级改造项目建设。</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市人民医院：用好用活南方医院紧密帮扶等优质资源，加强深度合作，建立每半年至少1次的定期沟通机制，共同研究解决省高水平医院建设工作的重大事项。加大高端医学人才引进，力争引进或培养博士2人以上、高级职称人才15人以上和柔性引进知名专家或团队5个。市中医院：进一步深化与广东药科大学合作模式，通过采取与省内高水平中医院“一对一”或“多对一”合作共建方式，对标“粤北最好的中医院”的标准，以迎接“三甲”复审为契机，加快补短板、强弱项，全面提升市中医院临床科研、重点专科建设和医疗技术水平。市妇幼保健院：成立创建“三甲”工作领导小组，制定创建方案，明确创建工作目标、任务和时间要求。积极争取省高水平妇幼保健院结对帮扶，全方位提升医院服务能力。市级精神卫生体系升级改造项目：落实项目领导挂钩联系制度，制定建设计划，实行“挂图作战”，定期跟踪督导项目建设进展，及时解决项目建设过程中的困难和问题。</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分管市领导：徐贤荣</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部门分工：市卫生健康局牵头，市中医药局，各县（市、区）政府等配合。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132．深化医药卫生体制改革，以罗定市、郁南县创建国家试点县为突破口，加快推进全市紧密型县域医共体建设。</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以推广三明医改经验为抓手，深化医疗、医保、医药联动改革，推动优质医疗资源扩容与均衡布局，充分下放用人权、管理权、内部分配权至县域医共体，全力推进医疗联合体规范化建设，推动实施紧密型县域医共体行政、人员、财务、质量、药械、信息系统“六统一”管理等政策措施落到实处。</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分管市领导：徐贤荣</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部门分工：市卫生健康局牵头，市财政局、市人力资源社会保障局、市市场监管局、市医保局，各县（市、区）政府负责。</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133．加大医疗领域投入，引进医疗卫生高层次人才170名。</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认真落实各项人才待遇政策，确保符合条件的医疗卫生高层次人才生活补贴及时补助到位。加大外出引才力度，组织人才招聘小组到省内外医药高等院校参加招聘会、双选会或举办宣讲会，选聘一批高素质医疗卫生人才。健全高层次医疗卫生人才引进、培养和激励机制，吸引更多高端人才、领军人物和高精尖医疗技术团队，确保完成年度引才目标任务。</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分管市领导：徐贤荣</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部门分工：市卫生健康局牵头，市财政局、市人力资源社会保障局，各县（市、区）政府等配合。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134．支持县级医院、镇卫生院、村卫生室提升服务能力，切实兜牢基层医疗卫生服务“网底”。</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支持县级医院扩展业务范围，丰富对口帮扶方式，推动人才、技术等优质医疗资源向基层下沉，补齐医疗服务和管理能力短板，推进县域内医疗资源整合共享，提升常见病、多发病诊疗能力，实现大病不出县。大力实施基层医疗机构服务能力提升计划，加大引进卫生专业紧缺人才补充到基层医疗机构，提高基层医疗卫生服务水平。</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分管市领导：徐贤荣</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部门分工：市卫生健康局牵头，各县（市、区）政府等配合。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135．深入开展爱国卫生运动，继续创建一批省卫生镇、卫生村。</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大力推动爱国卫生运动进社区、进乡村、进校园、进企业、进单位、进家庭，加大城乡环境卫生整治力度，大力开展国家卫生县（市）、省卫生镇（村）创建活动，力争创建国家级卫生县城1个、省级卫生镇3个、省级卫生村80条。</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分管市领导：徐贤荣</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部门分工：市卫生健康局牵头，市巩固国家卫生城市工作领导小组成员单位，各县（市、区）政府等配合。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136．因应形势落实疫情防控优化策略，围绕“保健康、防重症”目标，做好医疗救治资源储备建设，完善分级分类诊疗体系，突出脆弱群体防护，加强农村和基层防控，确保平稳转段和社会秩序稳定。</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建立全市统一的医疗救治指挥调度机制，统筹全市医疗救治资源，确保住院重症病例及时救治。建立全市医疗器械、药品统一采购制度，强化供需衔接和精准投放，及时保障群众用药需求。加强对基层医疗卫生机构的设备配备和升级改造，提升农村地区重症救治能力，做好基层医疗卫生机构的药品供应保障工作，为农村老年人、慢性基础疾病患者等脆弱群体提供就医保障。</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分管市领导：徐贤荣</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部门分工：市卫生健康局牵头，各县（市、区）政府负责，市工业和信息化局、市财政局、市农业农村局、市医保局等配合。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137．加快市公共卫生医学中心、市重大疫情救治基地等公共卫生项目建设，切实提高传染病防治和应急医疗救治能力。</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加快推进市公共卫生医学中心项目前期工作，进一步完善项目建设方案，做实做细项目建设各项要素保障工作，推动项目加快立项落地并动工建设。全力抓好市重大疫情救治基地等在建项目建设，落实项目领导挂钩联系制度，根据项目建设内容、年度投资等制定建设计划，实行“挂图作战”，定期跟踪督导项目建设进展，及时解决项目建设过程中的困难和问题。</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分管市领导：徐贤荣</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部门分工：市卫生健康局牵头，市发展改革局、市财政局、市自然资源局、市住房城乡建设局，云城区政府等配合。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138．深入推进居家和社区养老服务改革试点工作。</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深入推进居家和社区养老服务，优化我市县、镇、社区三级居家养老服务站点建设。对特殊困难老年人实施适老化改造，巩固家庭养老基础地位，进一步提升老年人居家生活的安全性和便利化。出台《居家养老服务中心（站）服务规范》、《居家养老入户服务规范》等两个地方标准，进一步健全养老服务标准体系。制定并发布云浮市基本养老服务具体实施方案及清单，明确具体服务对象、内容、标准等。</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分管市领导：梁绍雄</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部门分工：市民政局牵头，各县（市、区）政府等配合。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139．充分发挥“双百社工”和“社区康园中心”作用，进一步提高困难群众和特殊群体等兜底性民生社会工作服务水平。</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分类分层、分期分批开展岗前培训、专业培训和政策培训，形成理论指导、面向实践、提质增能的培训模式。推动社工站（点）规范化、标准化、制度化建设，指导社工按照规范的服务程序开展专业服务，认真撰写服务记录，及时进行文书归档，保留服务痕迹，做好过程管理。加大对双百工程的经费支持力度，保障社工站点运营顺畅。加强社区康园在服务规范化，帮助残疾学员提高生活自理能力、社会适应能力和创造价值能力，增加其融入和参与社会生活的机会，减轻家庭负担。</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分管市领导：梁绍雄</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部门分工：市民政局牵头，市财政局、市残联，各县（市、区）政府等配合。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140．高质量承办2023年广东省青少年男子曲棍球锦标赛，高水平办好云浮市第六届运动会、大金山半程马拉松赛、乡村“三带”徒步赛，科学布局全民健身资源，让全民健身成为社会新风尚。</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做好各项竞技体育赛事工作，落实“四方案一报告”，加强与省体育局对接，提前谋划，承办好2023年广东省青少年男子锦标赛；办好云浮市第六届运动会，落实市运会的承办单位及办赛经费。推进公共体育场馆补短板工程，加快我市体育场馆“两场两馆一中心”规划建设进程。不断构建完善“15分钟健身圈”器材配建、更新，推动社区体育公园建设。广泛举办篮球、足球、社区运动会等群众体育赛事，积极开展国民体质监测、社会体育指导员培训、体质测定与运动健身指导服务。根据疫情形势研判大金山半程马拉松赛启动时间，办好乡村“三带”徒步赛。</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分管市领导：徐贤荣</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部门分工：市文广旅体局牵头，市教育局，各县（市、区）政府等配合。</w:t>
      </w:r>
    </w:p>
    <w:p>
      <w:pPr>
        <w:spacing w:line="560" w:lineRule="exact"/>
        <w:ind w:firstLine="641"/>
        <w:outlineLvl w:val="1"/>
        <w:rPr>
          <w:rFonts w:ascii="楷体" w:hAnsi="楷体" w:eastAsia="楷体" w:cs="仿宋_GB2312"/>
          <w:b/>
          <w:bCs/>
          <w:sz w:val="32"/>
          <w:szCs w:val="32"/>
        </w:rPr>
      </w:pPr>
      <w:r>
        <w:rPr>
          <w:rFonts w:hint="eastAsia" w:ascii="楷体" w:hAnsi="楷体" w:eastAsia="楷体" w:cs="仿宋_GB2312"/>
          <w:b/>
          <w:bCs/>
          <w:sz w:val="32"/>
          <w:szCs w:val="32"/>
        </w:rPr>
        <w:t>（三）加快善治云浮建设。</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141．扎实推进全国市域社会治理现代化试点工作，织密织牢“五张网”。</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全面维护国家政治安全，抵御境外势力渗透颠覆破坏，严密防范暴力恐怖分裂活动，深入开展反邪教斗争。全面加强社会治安整体防控，严厉打击各类突出违法犯罪，强化社会面巡逻防控，提高街面见警率、管事率，全市接报刑事治安警情和刑事立案继续双下降。全面强化交通秩序整治、校园安全防范、危爆物品管控等工作，切实提升公安机关管控危安要素、应对突发公共安全事件的能力。</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分管市领导：谢超武</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部门分工：市公安局牵头，市直各部门，各县（市、区）政府负责。</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142．深化“1+1+N”智治建设，加快“云域智图”平台建设，深入推进社会治安巡防管控“四个一”体系、“四标四实”体系建设，全力打造共建共治共享的基层治理新格局。</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推动社会治安巡防管控“四个一”体系信息化项目建设，全力支撑和服务基层一线实战工作。逐步推动建设“四标四实”体系建设，年内争取完成“二标四实”体系，推动全市实有人口基础信息采集录入系统，基本实现政府和职能部门社会治理应用的需求。将省户政管理平台的标准地址信息进行清洗、更正、补充，建立标准地址库。聚焦村情民情、治安维稳、防灾避险等云浮特色应用专题，构建“一张地图知晓社情民意，一部手机感知集成信号”的“云域智图”。</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分管市领导：吴泽桐、谢超武</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部门分工：市公安局、市政务服务数据管理局牵头，市直各部门，各县（市、区）政府等配合。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143．深化镇街综合行政执法体制改革，持续提升依法行政水平。</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梳理审核自然资源和规划建设、生态保护、市场监管、卫生健康、镇区和乡村治理、农业技术推广使用等综合行政执法职权调整事项目录。建立健全综合行政执法统筹协调，推行统一部署、统一培训、统一指导、统一监督机制。推进深化应用“广东省一体化行政执法平台”，推动镇街综合行政执法网上办案，促进严格规范公正文明执法。</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分管市领导：各副市长</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部门分工：市政府办公室、市司法局、市政务服务数据管理局牵头，市直各部门，各县（市、区）政府等配合。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144．坚持和发展新时代“枫桥经验”，完善矛盾纠纷多元化解机制，及时把矛盾纠纷化解在基层、化解在萌芽状态。</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制定《信访工作责任清单》，压实基层信访工作责任。明确镇（街）具体责任清单，在排查研判、办理要求、领导包案、领导接访、人员管控等19项内容进行责任明确，以“四不两直”的方式加强指导督办，坚持用“三项建议权”倒逼工作落实。开展信访工作示范镇（街）创建活动，推动矛盾纠纷化解。认真贯彻落实“310工作机制”，规范初次信访事项办理工作，加强对各地各部门的指导督促力度。高质量办案、解案、结案，确保我市信访部门及时受理率100%，责任单位按期答复率100%，群众满意率继续排名全省前列。坚持依法治访，严肃依法打击各类违法信访行为，维护正常的信访秩序。</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分管市领导：梁绍雄</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部门分工：市信访局牵头，各县（市、区）政府等配合。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145．认真做好第五次全国经济普查。</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工作措施：组建普查机构，落实普查经费，制定普查方案，进行普查试点，准备数据处理环境，选调和培训普查人员，划分普查地理区域，单位清查，进行普查宣传动员等。</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分管市领导：吴泽桐</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部门分工：市统计局牵头，市直各部门，各县（市、区）政府等配合。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146.巩固“双拥模范城”创建成果，全力做好新一轮考评迎检工作。</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及时调整双拥工作领导机构、完善双拥工作保障机制。广泛开展国防教育和双拥宣传活动，扎实做好拥军支前工作，谋划具有云浮特色、满足军民多样化需求的双拥形式和活动，提升双拥工作水平。制定云浮市创建省级双拥模范城（县）迎检工作方案及责任分解表，补齐薄弱环节，全力做好双拥创模迎检工作。</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分管市领导：梁绍雄</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部门分工：市退役军人事务局牵头，各县（市、区）政府等配合。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147．加强国防动员和后备力量建设，高质量完成今年征兵任务。</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深化国防动员体制改革，健全完善制度机制，推动新体制高效运行。开展联演联训，组织实地实情专项演练，锻炼提高军地联合指挥能力。军地合力抓好民兵整组人员编配、预建党组织建设，提高新质力量比例，加强民兵队伍基础训练和任务行动训练，提升遂行任务能力。突出大学生征集重点搞好精准发动，压紧压实各级责任，加强各类征兵工作人员培训，严把体检关、政审关、廉洁关，高质量完成年度兵员征集任务。</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分管市领导：谢超武</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部门分工：云浮军分区牵头，各县（市、区）政府等配合。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148．加强军人军属荣誉激励和权益保障，建立困难退役军人帮扶援助机制，持续巩固军政军民团结的良好局面。</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全面落实优抚安置政策，加强就业创业服务，依法维护退役军人合法权益。深入推进军地互提需求互办实事“双清单”机制落地落实，持续抓好退役军人服务中心（站）规范化建设，出台并落实《云浮市困难退役军人帮扶援助实施办法》。持续开展“老兵永远跟党走”实践活动，常态推进“云浮最美退役军人”学习宣传活动。加强烈士纪念设施管护。</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分管市领导：梁绍雄</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部门分工：市退役军人事务局牵头，各县（市、区）政府等配合。</w:t>
      </w:r>
    </w:p>
    <w:p>
      <w:pPr>
        <w:spacing w:line="560" w:lineRule="exact"/>
        <w:ind w:firstLine="641"/>
        <w:outlineLvl w:val="0"/>
        <w:rPr>
          <w:rFonts w:ascii="黑体" w:hAnsi="黑体" w:eastAsia="黑体" w:cs="仿宋_GB2312"/>
          <w:sz w:val="32"/>
          <w:szCs w:val="32"/>
        </w:rPr>
      </w:pPr>
      <w:r>
        <w:rPr>
          <w:rFonts w:hint="eastAsia" w:ascii="黑体" w:hAnsi="黑体" w:eastAsia="黑体" w:cs="仿宋_GB2312"/>
          <w:sz w:val="32"/>
          <w:szCs w:val="32"/>
        </w:rPr>
        <w:t>九、加强政府自身建设，持续强化高质量发展的政治保证</w:t>
      </w:r>
    </w:p>
    <w:p>
      <w:pPr>
        <w:spacing w:line="560" w:lineRule="exact"/>
        <w:ind w:firstLine="641"/>
        <w:outlineLvl w:val="1"/>
        <w:rPr>
          <w:rFonts w:ascii="楷体" w:hAnsi="楷体" w:eastAsia="楷体" w:cs="仿宋_GB2312"/>
          <w:b/>
          <w:bCs/>
          <w:sz w:val="32"/>
          <w:szCs w:val="32"/>
        </w:rPr>
      </w:pPr>
      <w:r>
        <w:rPr>
          <w:rFonts w:hint="eastAsia" w:ascii="楷体" w:hAnsi="楷体" w:eastAsia="楷体" w:cs="仿宋_GB2312"/>
          <w:b/>
          <w:bCs/>
          <w:sz w:val="32"/>
          <w:szCs w:val="32"/>
        </w:rPr>
        <w:t>（一）全面加强政府系统党的建设。</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149．严格落实中央八项规定及其实施细则精神，持之以恒正风肃纪，深入推进审计监督全覆盖，突出抓好“一把手”、重点领域、重要部门、关键岗位廉政风险防控，坚持政府过“紧日子”，大力营造风清气正的良好政治生态。</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聚焦财政财务收支真实合法效益主责主业开展审计监督，突出把领导干部经济责任审计工作作为规范干部权力行使、监督党政“一把手”履职尽责的重要手段，将党政“一把手”、重点领域、重要部门、关键岗位作为重点审计对象，不断加大审计监督力度。督促各地各部门要按照中央、省关于过“紧日子”要求，压减非必要非刚性支出，节省资金统筹用于保障“三保”。严格规范新增支出政策，特别要严控会形成长期性、持续性的增人增支政策，量力而行并审慎稳妥安排财政支出。加大预算执行中的非重点、非刚性支出压减力度，市县两级部门一般性支出按不低于省定比例（3.7%）压减。加大力度清理盘活存量闲置资金，适时调整用于经济社会发展亟需支持的领域。</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分管市领导：各副市长</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部门分工：市审计局、市财政局牵头，市直各部门，各县（市、区）政府等配合。</w:t>
      </w:r>
    </w:p>
    <w:p>
      <w:pPr>
        <w:spacing w:line="560" w:lineRule="exact"/>
        <w:ind w:firstLine="641"/>
        <w:outlineLvl w:val="1"/>
        <w:rPr>
          <w:rFonts w:ascii="楷体" w:hAnsi="楷体" w:eastAsia="楷体" w:cs="仿宋_GB2312"/>
          <w:b/>
          <w:bCs/>
          <w:sz w:val="32"/>
          <w:szCs w:val="32"/>
        </w:rPr>
      </w:pPr>
      <w:r>
        <w:rPr>
          <w:rFonts w:hint="eastAsia" w:ascii="楷体" w:hAnsi="楷体" w:eastAsia="楷体" w:cs="仿宋_GB2312"/>
          <w:b/>
          <w:bCs/>
          <w:sz w:val="32"/>
          <w:szCs w:val="32"/>
        </w:rPr>
        <w:t>（二）全面推进创新型引领型改革。</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150．聚焦营商环境、经济发展、科技创新、要素配置、绿色低碳、教育文化、社会治理等重点领域关键环节攻坚突破，推动政府职能加快转变，实现有效市场和有为政府更好结合。</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召开营商环境大会等会议，推动营商环境评价指标提升进位。坚持“资源要素跟着项目走”，更好发挥“1+5+X"等协调机制作用。加快推进云浮高新区创建国家高新区，罗定、郁南创建省级高新区。深入推进省深化新时代教育评价改革试点市工作，严格落实新时代教育评价改革任务负面清单。聚焦社会治理重点领域关键环节攻坚突破，完成市域社会治理现代化“十四五”规划2023年阶段性目标。</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分管市领导：吴泽桐</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部门分工：市政府办公室牵头，市全面优化营商环境领导小组成员单位负责，各县（市、区）政府等配合。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151．建立健全园区经济、镇域经济、资源经济发展机制，为“三大抓手”建设提供有力制度保障。</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完善承接产业有序转移主平台、产业转移合作园区和省产业园机制体制。健全园区管理机构，理顺相应管理关系，重点理顺佛山（云浮）产业转移工业园管理关系。进一步评估完善镇域经济“1+N”政策体系，细化具体政策措施，做好政策解读，加强培训学习，强化跟踪指导，确保政策落地落实。充分发挥市建设用地领导小组、市矿产资源开发管理专责小组、市垦造水田工作专班的统筹协调作用，建立健全高效利用资源工作机制，有力有序推进矿山开发、土地出让、垦造水田、拆旧复垦等工作，推动资源经济加快发展。</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分管市领导：吴泽桐、谢月浩、梁东海</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部门分工：市发展改革局、市工业和信息化局、市自然资源局牵头，市直各部门，各县（市、区）政府等配合。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152．坚定落实“两个毫不动摇”，出台支持民营经济发展的政策措施，大力提振民营企业家信心，促进非公有制经济健康发展。</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全面深入推广开办企业“一网通办、一窗通取”，实现开办企业全流程“统一认证、一表填报、一次申请、数据共享，即时审批，实时反馈”。实现开办企业环节不超2个、时间不超1天办结。深入推进“证照分离”与“一照通行”改革，协同提升准入准营便利化水平，实现一次申办、一表申请、并联审批、限时办结。落实免费刻章服务，为新办企业免费提供4枚印章。严格落实免征优惠政策，对符合免征政策条件的企业法定检验检测业务全部免征，切实减轻企业负担。</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分管市领导：梁东海</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部门分工：市市场监管局牵头，市直各部门，各县（市、区）政府等配合。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153．深化国资国企改革，加大市属国有企业战略性重组和国资清查整合力度，不断提升国资国企的发展质效和财政贡献率。</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推进国有经济布局优化和结构调整，加大国企战略重组力度，整合国有资产，优化资源配置。推动国企与央企、省属国企、广州市属国企等深化合作，参与全市重大投资项目建设。推进混合所有制改革，鼓励市属国企与有实力的民企深化合作，参与我市石材产业、汽车拆解等行业。健全市场化经营机制，推进经理层成员任期制契约化管理，健全市场化招聘机制，按市场化原则公开招聘企业员工，完善企业工资分配监管体制。</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分管市领导：吴泽桐</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部门分工：市国资委牵头，各县（市、区）政府等配合。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154．深化财税领域改革，完善各级财税体制，健全现代预算制度，加强绩效评价管理，兜牢兜实基层“三保”底线。</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落实市对县（市、区）财政预算安排审核机制，落实常态化实施财政资金直达机制，进一步深化预算管理改革，切实提高年初预算到位率。集中财力办大事，继续实施区域均衡协调发展资金机制，加大财力薄弱地区转移支付、临时救助周转资金、民生补短板资金保障力度，增强市县托底保障、防范化解财政运行风险以及民生补短板保障能力。加强对各地库款监测力度，落实“三保”资金专户管理机制，优化财政支出结构，腾出财力优先保障“三保”支出，防止脱离财力实际搞过度保障和过度建设。严格审核县级“三保”预算编制，健全预算审核机制，完善地方保障清单，明确保障范围和具体项目，根据国家和省的保障标准，测算支出规模，合理足额编排年度预算。</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分管市领导：吴泽桐</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部门分工：市财政局牵头，各县（市、区）政府负责。</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155．主动对接“双区”“三个合作区”等重大改革试点，争取更多国家级、省级试点落地云浮，持续向改革要动力要活力。</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全面实施云浮“东融湾区”战略，抢抓珠三角产业有序转移、新一轮对口帮扶等叠加机遇，高标准建设承接产业有序转移平台载体，深化拓展“湾区总部+云浮基地”“湾区研发+云浮生产”等合作共建模式，高质量承接大湾区制造业转移。深入开展交通互联互通、园区经济承接、镇域经济联动、资源经济对接、营商环境改革、科技协同创新、生态共济共治和社会共融互促等八大行动。</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分管市领导：吴泽桐</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部门分工：市发展改革局牵头，市直各部门，各县（市、区）政府等配合。</w:t>
      </w:r>
    </w:p>
    <w:p>
      <w:pPr>
        <w:spacing w:line="560" w:lineRule="exact"/>
        <w:ind w:firstLine="641"/>
        <w:outlineLvl w:val="1"/>
        <w:rPr>
          <w:rFonts w:ascii="楷体" w:hAnsi="楷体" w:eastAsia="楷体" w:cs="仿宋_GB2312"/>
          <w:b/>
          <w:bCs/>
          <w:sz w:val="32"/>
          <w:szCs w:val="32"/>
        </w:rPr>
      </w:pPr>
      <w:r>
        <w:rPr>
          <w:rFonts w:hint="eastAsia" w:ascii="楷体" w:hAnsi="楷体" w:eastAsia="楷体" w:cs="仿宋_GB2312"/>
          <w:b/>
          <w:bCs/>
          <w:sz w:val="32"/>
          <w:szCs w:val="32"/>
        </w:rPr>
        <w:t>（三）全面推进服务型政府建设。</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156．纵深推进法治政府、数字政府、廉洁政府建设，着力打造诚信、高效、有为、人民满意的服务型政府。</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制定印发2023年法治政府建设工作要点。制定市政府及部门2023年度重大行政决策事项目录。做好2022年法治政府建设年度报告报送及公开工作。积极开展法治政府建设示范创建活动，提前谋划广东省第二批法治政府建设示范项目申报工作。加快推进“云浮市招商引资和企业服务一体化平台”建设，建立政务大厅运行管理平台。深化数字机关办文效能，推进不少于50项高频服务进驻粤系列平台办理。持续推进云浮市公共资源交易信息化新平台与“粤公平”深度融合，重点推进工程招投标交易实现“不见面开标”和“远程异地评标”全覆盖。加强对政府部门“一把手”和领导班子的监督，突出抓好重点领域、重要部门、关键岗位廉政风险防控，紧盯财政资金管理使用、重大项目建设、重大风险防范、助企纾困政策落实、民生保障和改善等重点领域加强审计监督，严格落实“八个不能乱”，做到用制度管权、按制度办事、靠制度管人。</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分管市领导：各副市长</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部门分工：市政府办公室、市司法局、市审计局、市政务服务数据管理局牵头，市直各部门，各县（市、区）政府等配合。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157．切实用好“十大监督”，加强政务公开，让权力在阳光下运行。</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以党内监督为主导，更加自觉主动地接受人大监督，不断加强执法司法监督创新拓展。切实履行《会计法》《注册会计师法》赋予财政部门的财会监督职能，指导督促会计人员掌握会计制度、依法开展财会核算。紧盯重点领域，扎实做好审计各项工作，及时揭示问题、预警风险。加强对经济运行情况的监测分析，如实反映相关工作情况，及时反映和揭示风险隐患与问题矛盾。认真做好网民留言的核查办理工作，提升办理质效和群众满意度。</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分管市领导：各副市长</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部门分工：市政府办公室牵头，市财政局、市司法局、市审计局、市统计局，各县（市、区）政府等配合。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158．深入实施法治建设“一规划两纲要”，深入推进“八五”普法，营造尊法学法守法用法的浓厚氛围。</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建立法治建设“一规划两纲要”年度工作台账，统筹抓好贯彻落实。完善市政府常务会议常态化学法机制。组织举办领导干部法治专题报告会和旁听庭审活动。组织开展全市国家工作人员年度学法考试。开展国家机关“谁执法谁普法”履职报告评议活动。运用传统媒体和新媒体开展形式多样的法治宣传活动。加强法治文化阵地建设，开展群众性法治文化活动。开展“民主法治示范村（社区）”等法治创建活动。</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分管市领导：谢超武</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部门分工：市司法局牵头，市直各部门，各县（市、区）政府等配合。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159．深化“一网统管”数据赋能，推动政府治理数字化。</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基于省“粤治慧”平台支撑能力，搭建云浮市“一网统管”基础平台，开发云治慧、云域智图、招商企业服务一体化平台等本地化应用系统。参照省级应用专题建设标准和要求，围绕本地治理场景和业务需求，结合新型智慧城市建设，开展经济运行、政务服务、党建引领基层治理等领域专题应用建设。建立综合管理配套机制，完善专题建设、微网格管理、数据采集及常态化更新、督导考评、绩效考核等全方位的保障体系。</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分管市领导：吴泽桐</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部门分工：市政务服务数据管理局牵头，市直各部门，各县（市、区）政府等配合。</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160．全域应用云浮市一体化公共服务平台，年内新增跨域通办政务服务事项200项。</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提升云浮市一体化公共服务平台功能，深化免证办、统一预约、一件事等便利服务，全面推行政务服务审批效能监督。深化政务服务“跨域通办”工作，全市新增市场监管、人社、公安、税务、公积金等不少于200个事项全市通办。</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分管市领导：吴泽桐</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部门分工：市政务服务数据管理局牵头，市直各部门配合。</w:t>
      </w:r>
    </w:p>
    <w:p>
      <w:pPr>
        <w:spacing w:line="560" w:lineRule="exact"/>
        <w:ind w:firstLine="641"/>
        <w:outlineLvl w:val="1"/>
        <w:rPr>
          <w:rFonts w:ascii="楷体" w:hAnsi="楷体" w:eastAsia="楷体" w:cs="仿宋_GB2312"/>
          <w:b/>
          <w:bCs/>
          <w:sz w:val="32"/>
          <w:szCs w:val="32"/>
        </w:rPr>
      </w:pPr>
      <w:r>
        <w:rPr>
          <w:rFonts w:hint="eastAsia" w:ascii="楷体" w:hAnsi="楷体" w:eastAsia="楷体" w:cs="仿宋_GB2312"/>
          <w:b/>
          <w:bCs/>
          <w:sz w:val="32"/>
          <w:szCs w:val="32"/>
        </w:rPr>
        <w:t>（四）全面提升战斗力执行力落实力。</w:t>
      </w:r>
    </w:p>
    <w:p>
      <w:pPr>
        <w:spacing w:line="560" w:lineRule="exact"/>
        <w:ind w:firstLine="641"/>
        <w:outlineLvl w:val="2"/>
        <w:rPr>
          <w:rFonts w:ascii="仿宋" w:hAnsi="仿宋" w:eastAsia="仿宋" w:cs="仿宋_GB2312"/>
          <w:b/>
          <w:bCs/>
          <w:sz w:val="32"/>
          <w:szCs w:val="32"/>
        </w:rPr>
      </w:pPr>
      <w:r>
        <w:rPr>
          <w:rFonts w:hint="eastAsia" w:ascii="仿宋" w:hAnsi="仿宋" w:eastAsia="仿宋" w:cs="仿宋_GB2312"/>
          <w:b/>
          <w:bCs/>
          <w:sz w:val="32"/>
          <w:szCs w:val="32"/>
        </w:rPr>
        <w:t>161．强化制度意识，用好政府系统“一套工作指引”和“一套指标体系”，推动政府各项工作制度化、科学化、规范化。</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工作措施：组织开展工作指引编制工作，明确工作职责、工作规范、工作清单、工作流程图。定期研究分析，及时总结使用过程中发现的好经验、好做法，针对落实中发现的存在问题，因时因势不断更新完善。对照工作指引编制成果，做好日常工作和应对突发事件，避免错漏情况出现。聚焦全市各领域各行业目标任务，进一步摸准底数、明晰差距，科学划分考核类、争先进位类等指标，制定政府系统指标体系。单一性指标单位要争当“单项冠军”，综合性指标单位要担起统筹推进责任。进一步明确重点、找准问题、落实措施，切实提升工作效能。落实定期汇报，用好督导反馈机制。</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分管市领导：各副市长</w:t>
      </w:r>
    </w:p>
    <w:p>
      <w:pPr>
        <w:spacing w:line="560" w:lineRule="exact"/>
        <w:ind w:firstLine="641"/>
        <w:rPr>
          <w:rFonts w:ascii="仿宋" w:hAnsi="仿宋" w:eastAsia="仿宋" w:cs="仿宋_GB2312"/>
          <w:sz w:val="32"/>
          <w:szCs w:val="32"/>
        </w:rPr>
      </w:pPr>
      <w:r>
        <w:rPr>
          <w:rFonts w:hint="eastAsia" w:ascii="仿宋" w:hAnsi="仿宋" w:eastAsia="仿宋" w:cs="仿宋_GB2312"/>
          <w:sz w:val="32"/>
          <w:szCs w:val="32"/>
        </w:rPr>
        <w:t>部门分工：市政府办公室牵头，市直各部门，各县（市、区）政府等配合。</w:t>
      </w:r>
    </w:p>
    <w:p>
      <w:pPr>
        <w:spacing w:line="560" w:lineRule="exact"/>
        <w:ind w:firstLine="641"/>
        <w:rPr>
          <w:rFonts w:ascii="仿宋_GB2312" w:hAnsi="仿宋_GB2312" w:eastAsia="仿宋_GB2312" w:cs="仿宋_GB2312"/>
          <w:sz w:val="32"/>
          <w:szCs w:val="32"/>
        </w:rPr>
      </w:pPr>
    </w:p>
    <w:sectPr>
      <w:pgSz w:w="11906" w:h="16838"/>
      <w:pgMar w:top="2098" w:right="1474" w:bottom="1984" w:left="1587"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D060114-BF94-4DDD-95E7-C98916DA405E}"/>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embedRegular r:id="rId2" w:fontKey="{D965D3B9-154E-48CB-801C-215E1EAC184B}"/>
  </w:font>
  <w:font w:name="楷体">
    <w:panose1 w:val="02010609060101010101"/>
    <w:charset w:val="86"/>
    <w:family w:val="modern"/>
    <w:pitch w:val="default"/>
    <w:sig w:usb0="800002BF" w:usb1="38CF7CFA" w:usb2="00000016" w:usb3="00000000" w:csb0="00040001" w:csb1="00000000"/>
    <w:embedRegular r:id="rId3" w:fontKey="{6494D8B9-4F8A-43C3-A59A-4CF782042503}"/>
  </w:font>
  <w:font w:name="方正小标宋简体">
    <w:panose1 w:val="02000000000000000000"/>
    <w:charset w:val="86"/>
    <w:family w:val="auto"/>
    <w:pitch w:val="default"/>
    <w:sig w:usb0="00000001" w:usb1="08000000" w:usb2="00000000" w:usb3="00000000" w:csb0="00040000" w:csb1="00000000"/>
    <w:embedRegular r:id="rId4" w:fontKey="{F2CCDB9C-8BFD-45DA-96B9-C3DB1E5BDC9B}"/>
  </w:font>
  <w:font w:name="仿宋">
    <w:panose1 w:val="02010609060101010101"/>
    <w:charset w:val="86"/>
    <w:family w:val="modern"/>
    <w:pitch w:val="default"/>
    <w:sig w:usb0="800002BF" w:usb1="38CF7CFA" w:usb2="00000016" w:usb3="00000000" w:csb0="00040001" w:csb1="00000000"/>
    <w:embedRegular r:id="rId5" w:fontKey="{3224132B-0148-4CBD-9355-965426A954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41892664"/>
      <w:docPartObj>
        <w:docPartGallery w:val="autotext"/>
      </w:docPartObj>
    </w:sdtPr>
    <w:sdtContent>
      <w:p>
        <w:pPr>
          <w:pStyle w:val="4"/>
          <w:jc w:val="right"/>
        </w:pPr>
        <w:r>
          <w:fldChar w:fldCharType="begin"/>
        </w:r>
        <w:r>
          <w:instrText xml:space="preserve">PAGE   \* MERGEFORMAT</w:instrText>
        </w:r>
        <w:r>
          <w:fldChar w:fldCharType="separate"/>
        </w:r>
        <w:r>
          <w:rPr>
            <w:lang w:val="zh-CN"/>
          </w:rPr>
          <w:t>2</w:t>
        </w:r>
        <w:r>
          <w:fldChar w:fldCharType="end"/>
        </w:r>
      </w:p>
    </w:sdtContent>
  </w:sdt>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66388641"/>
      <w:docPartObj>
        <w:docPartGallery w:val="autotext"/>
      </w:docPartObj>
    </w:sdtPr>
    <w:sdtContent>
      <w:p>
        <w:pPr>
          <w:pStyle w:val="4"/>
        </w:pPr>
        <w:r>
          <w:fldChar w:fldCharType="begin"/>
        </w:r>
        <w:r>
          <w:instrText xml:space="preserve">PAGE   \* MERGEFORMAT</w:instrText>
        </w:r>
        <w:r>
          <w:fldChar w:fldCharType="separate"/>
        </w:r>
        <w:r>
          <w:rPr>
            <w:lang w:val="zh-CN"/>
          </w:rPr>
          <w:t>2</w:t>
        </w:r>
        <w:r>
          <w:fldChar w:fldCharType="end"/>
        </w:r>
      </w:p>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I2MzY0YzBhZWI0OTFhMjBiMzc0NWI2NzcxYzAyY2UifQ=="/>
  </w:docVars>
  <w:rsids>
    <w:rsidRoot w:val="00587F46"/>
    <w:rsid w:val="0000328A"/>
    <w:rsid w:val="0000590A"/>
    <w:rsid w:val="0002594F"/>
    <w:rsid w:val="0002697C"/>
    <w:rsid w:val="00036841"/>
    <w:rsid w:val="00064B59"/>
    <w:rsid w:val="00094D34"/>
    <w:rsid w:val="000A23C9"/>
    <w:rsid w:val="000B379A"/>
    <w:rsid w:val="000D5D5A"/>
    <w:rsid w:val="000F4E7D"/>
    <w:rsid w:val="000F6D2D"/>
    <w:rsid w:val="00102447"/>
    <w:rsid w:val="0011518D"/>
    <w:rsid w:val="00116A9A"/>
    <w:rsid w:val="00173DE9"/>
    <w:rsid w:val="001A58E1"/>
    <w:rsid w:val="001D42E3"/>
    <w:rsid w:val="001D60FD"/>
    <w:rsid w:val="0020504D"/>
    <w:rsid w:val="00213D12"/>
    <w:rsid w:val="0023360F"/>
    <w:rsid w:val="0025484B"/>
    <w:rsid w:val="002933F3"/>
    <w:rsid w:val="002B7A3F"/>
    <w:rsid w:val="002D1501"/>
    <w:rsid w:val="002D45DA"/>
    <w:rsid w:val="00316CE5"/>
    <w:rsid w:val="00325601"/>
    <w:rsid w:val="00325E45"/>
    <w:rsid w:val="0033315C"/>
    <w:rsid w:val="003474AD"/>
    <w:rsid w:val="00351FF6"/>
    <w:rsid w:val="003931AD"/>
    <w:rsid w:val="003A7B05"/>
    <w:rsid w:val="003E54B6"/>
    <w:rsid w:val="00414A25"/>
    <w:rsid w:val="00482512"/>
    <w:rsid w:val="0048729D"/>
    <w:rsid w:val="00494464"/>
    <w:rsid w:val="005000DD"/>
    <w:rsid w:val="00540C7A"/>
    <w:rsid w:val="00543EE5"/>
    <w:rsid w:val="00564B98"/>
    <w:rsid w:val="00566D57"/>
    <w:rsid w:val="00587F46"/>
    <w:rsid w:val="00595144"/>
    <w:rsid w:val="005A1210"/>
    <w:rsid w:val="005E2232"/>
    <w:rsid w:val="00622EDC"/>
    <w:rsid w:val="0064552F"/>
    <w:rsid w:val="006511E7"/>
    <w:rsid w:val="0068659C"/>
    <w:rsid w:val="006974A9"/>
    <w:rsid w:val="006B4BEE"/>
    <w:rsid w:val="006B782E"/>
    <w:rsid w:val="006E596B"/>
    <w:rsid w:val="006E65A4"/>
    <w:rsid w:val="006F066C"/>
    <w:rsid w:val="00702D1A"/>
    <w:rsid w:val="00702DD0"/>
    <w:rsid w:val="00741235"/>
    <w:rsid w:val="00755A45"/>
    <w:rsid w:val="00772B5B"/>
    <w:rsid w:val="007962C2"/>
    <w:rsid w:val="007A09C1"/>
    <w:rsid w:val="007A4438"/>
    <w:rsid w:val="007B0970"/>
    <w:rsid w:val="007B708B"/>
    <w:rsid w:val="007F2816"/>
    <w:rsid w:val="00801C6E"/>
    <w:rsid w:val="00803477"/>
    <w:rsid w:val="0082322A"/>
    <w:rsid w:val="0082382D"/>
    <w:rsid w:val="0083265D"/>
    <w:rsid w:val="00851A82"/>
    <w:rsid w:val="008802F6"/>
    <w:rsid w:val="00882C5A"/>
    <w:rsid w:val="00885C92"/>
    <w:rsid w:val="008B2272"/>
    <w:rsid w:val="008E65E0"/>
    <w:rsid w:val="008E6D2B"/>
    <w:rsid w:val="00917B99"/>
    <w:rsid w:val="00925672"/>
    <w:rsid w:val="009459FA"/>
    <w:rsid w:val="00954FEF"/>
    <w:rsid w:val="00961DD6"/>
    <w:rsid w:val="00994F50"/>
    <w:rsid w:val="00995E66"/>
    <w:rsid w:val="009A18BA"/>
    <w:rsid w:val="009A3DF8"/>
    <w:rsid w:val="00A00D7E"/>
    <w:rsid w:val="00A37648"/>
    <w:rsid w:val="00A4223A"/>
    <w:rsid w:val="00A8772E"/>
    <w:rsid w:val="00AC2A6B"/>
    <w:rsid w:val="00AF4029"/>
    <w:rsid w:val="00B105CC"/>
    <w:rsid w:val="00B22B10"/>
    <w:rsid w:val="00B237DC"/>
    <w:rsid w:val="00B369DD"/>
    <w:rsid w:val="00B50731"/>
    <w:rsid w:val="00B6004D"/>
    <w:rsid w:val="00B6606B"/>
    <w:rsid w:val="00C52DD6"/>
    <w:rsid w:val="00C941A0"/>
    <w:rsid w:val="00CA230E"/>
    <w:rsid w:val="00CA3237"/>
    <w:rsid w:val="00CB5FB2"/>
    <w:rsid w:val="00CC70E0"/>
    <w:rsid w:val="00CF1987"/>
    <w:rsid w:val="00CF475A"/>
    <w:rsid w:val="00D15310"/>
    <w:rsid w:val="00D319D9"/>
    <w:rsid w:val="00D67D7C"/>
    <w:rsid w:val="00D72BF4"/>
    <w:rsid w:val="00D730DC"/>
    <w:rsid w:val="00D7621A"/>
    <w:rsid w:val="00D81A65"/>
    <w:rsid w:val="00D915A4"/>
    <w:rsid w:val="00DA01D7"/>
    <w:rsid w:val="00DB5E6B"/>
    <w:rsid w:val="00DF5C05"/>
    <w:rsid w:val="00E05021"/>
    <w:rsid w:val="00E05FD4"/>
    <w:rsid w:val="00E74F5D"/>
    <w:rsid w:val="00E95332"/>
    <w:rsid w:val="00EC080E"/>
    <w:rsid w:val="00EE6E71"/>
    <w:rsid w:val="00EF0A54"/>
    <w:rsid w:val="00F073D3"/>
    <w:rsid w:val="00F1158F"/>
    <w:rsid w:val="00F271F9"/>
    <w:rsid w:val="00F32CC9"/>
    <w:rsid w:val="00F47858"/>
    <w:rsid w:val="00F64BA1"/>
    <w:rsid w:val="00F82FB9"/>
    <w:rsid w:val="00F863FA"/>
    <w:rsid w:val="00F86D20"/>
    <w:rsid w:val="00FA276F"/>
    <w:rsid w:val="00FD0192"/>
    <w:rsid w:val="00FF695F"/>
    <w:rsid w:val="00FF6AA5"/>
    <w:rsid w:val="020E2864"/>
    <w:rsid w:val="0649781E"/>
    <w:rsid w:val="07950B26"/>
    <w:rsid w:val="0D0B5590"/>
    <w:rsid w:val="107C0AD5"/>
    <w:rsid w:val="10FB315F"/>
    <w:rsid w:val="12AB7B89"/>
    <w:rsid w:val="166317C4"/>
    <w:rsid w:val="17547FA8"/>
    <w:rsid w:val="18BC23B6"/>
    <w:rsid w:val="19E51499"/>
    <w:rsid w:val="1BAA35E6"/>
    <w:rsid w:val="1BF41E67"/>
    <w:rsid w:val="1C111BF3"/>
    <w:rsid w:val="1D7D4E2E"/>
    <w:rsid w:val="1F6960E2"/>
    <w:rsid w:val="23735A47"/>
    <w:rsid w:val="23D43E9D"/>
    <w:rsid w:val="294C24E7"/>
    <w:rsid w:val="29B81A52"/>
    <w:rsid w:val="29C837D8"/>
    <w:rsid w:val="2A9F08C1"/>
    <w:rsid w:val="2B515F22"/>
    <w:rsid w:val="315028E4"/>
    <w:rsid w:val="32213B57"/>
    <w:rsid w:val="32236BAB"/>
    <w:rsid w:val="33AC7A27"/>
    <w:rsid w:val="342033A2"/>
    <w:rsid w:val="367714D5"/>
    <w:rsid w:val="38AC16A8"/>
    <w:rsid w:val="38E522FC"/>
    <w:rsid w:val="39457ADD"/>
    <w:rsid w:val="3A563FC1"/>
    <w:rsid w:val="3BE91C64"/>
    <w:rsid w:val="3D503812"/>
    <w:rsid w:val="3F667F9C"/>
    <w:rsid w:val="40BC08F6"/>
    <w:rsid w:val="41C17ECF"/>
    <w:rsid w:val="45780422"/>
    <w:rsid w:val="48BB76E5"/>
    <w:rsid w:val="4A5D6CA6"/>
    <w:rsid w:val="4C854292"/>
    <w:rsid w:val="4ED63464"/>
    <w:rsid w:val="4F4F59DB"/>
    <w:rsid w:val="541B51A4"/>
    <w:rsid w:val="5A4D0529"/>
    <w:rsid w:val="5DFC63EC"/>
    <w:rsid w:val="6034695D"/>
    <w:rsid w:val="613435C1"/>
    <w:rsid w:val="61D45648"/>
    <w:rsid w:val="62E46BAE"/>
    <w:rsid w:val="63793E82"/>
    <w:rsid w:val="64F61D79"/>
    <w:rsid w:val="693D1F0E"/>
    <w:rsid w:val="6A7A2AF3"/>
    <w:rsid w:val="6E1B45FE"/>
    <w:rsid w:val="6E542C51"/>
    <w:rsid w:val="7057059B"/>
    <w:rsid w:val="711237C6"/>
    <w:rsid w:val="73F94002"/>
    <w:rsid w:val="742274D6"/>
    <w:rsid w:val="751F6782"/>
    <w:rsid w:val="77876CE0"/>
    <w:rsid w:val="7ED705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b/>
      <w:kern w:val="44"/>
      <w:sz w:val="48"/>
      <w:szCs w:val="48"/>
    </w:rPr>
  </w:style>
  <w:style w:type="paragraph" w:styleId="3">
    <w:name w:val="heading 3"/>
    <w:basedOn w:val="1"/>
    <w:next w:val="1"/>
    <w:semiHidden/>
    <w:unhideWhenUsed/>
    <w:qFormat/>
    <w:uiPriority w:val="0"/>
    <w:pPr>
      <w:spacing w:beforeAutospacing="1" w:afterAutospacing="1"/>
      <w:jc w:val="left"/>
      <w:outlineLvl w:val="2"/>
    </w:pPr>
    <w:rPr>
      <w:rFonts w:hint="eastAsia" w:ascii="宋体" w:hAnsi="宋体"/>
      <w:b/>
      <w:kern w:val="0"/>
      <w:sz w:val="27"/>
      <w:szCs w:val="27"/>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6"/>
    <w:qFormat/>
    <w:uiPriority w:val="99"/>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7">
    <w:name w:val="Normal (Web)"/>
    <w:basedOn w:val="1"/>
    <w:qFormat/>
    <w:uiPriority w:val="0"/>
    <w:pPr>
      <w:spacing w:beforeAutospacing="1" w:afterAutospacing="1"/>
      <w:jc w:val="left"/>
    </w:pPr>
    <w:rPr>
      <w:kern w:val="0"/>
      <w:sz w:val="24"/>
    </w:rPr>
  </w:style>
  <w:style w:type="character" w:styleId="10">
    <w:name w:val="Strong"/>
    <w:basedOn w:val="9"/>
    <w:qFormat/>
    <w:uiPriority w:val="0"/>
    <w:rPr>
      <w:b/>
    </w:rPr>
  </w:style>
  <w:style w:type="character" w:styleId="11">
    <w:name w:val="page number"/>
    <w:basedOn w:val="9"/>
    <w:qFormat/>
    <w:uiPriority w:val="0"/>
  </w:style>
  <w:style w:type="character" w:styleId="12">
    <w:name w:val="Hyperlink"/>
    <w:basedOn w:val="9"/>
    <w:uiPriority w:val="0"/>
    <w:rPr>
      <w:color w:val="0000FF"/>
      <w:u w:val="single"/>
    </w:rPr>
  </w:style>
  <w:style w:type="character" w:customStyle="1" w:styleId="13">
    <w:name w:val="font112"/>
    <w:basedOn w:val="9"/>
    <w:qFormat/>
    <w:uiPriority w:val="0"/>
    <w:rPr>
      <w:rFonts w:hint="default" w:ascii="仿宋_GB2312" w:eastAsia="仿宋_GB2312" w:cs="仿宋_GB2312"/>
      <w:color w:val="000000"/>
      <w:sz w:val="24"/>
      <w:szCs w:val="24"/>
      <w:u w:val="none"/>
    </w:rPr>
  </w:style>
  <w:style w:type="character" w:customStyle="1" w:styleId="14">
    <w:name w:val="font21"/>
    <w:basedOn w:val="9"/>
    <w:qFormat/>
    <w:uiPriority w:val="0"/>
    <w:rPr>
      <w:rFonts w:hint="default" w:ascii="Times New Roman" w:hAnsi="Times New Roman" w:cs="Times New Roman"/>
      <w:color w:val="000000"/>
      <w:sz w:val="24"/>
      <w:szCs w:val="24"/>
      <w:u w:val="none"/>
    </w:rPr>
  </w:style>
  <w:style w:type="paragraph" w:customStyle="1" w:styleId="15">
    <w:name w:val="正文1"/>
    <w:next w:val="1"/>
    <w:qFormat/>
    <w:uiPriority w:val="0"/>
    <w:pPr>
      <w:widowControl w:val="0"/>
      <w:jc w:val="both"/>
    </w:pPr>
    <w:rPr>
      <w:rFonts w:hint="eastAsia" w:ascii="Times New Roman" w:hAnsi="Times New Roman" w:eastAsia="仿宋_GB2312" w:cs="Times New Roman"/>
      <w:kern w:val="2"/>
      <w:sz w:val="32"/>
      <w:lang w:val="en-US" w:eastAsia="zh-CN" w:bidi="ar-SA"/>
    </w:rPr>
  </w:style>
  <w:style w:type="character" w:customStyle="1" w:styleId="16">
    <w:name w:val="页脚 字符"/>
    <w:basedOn w:val="9"/>
    <w:link w:val="4"/>
    <w:qFormat/>
    <w:uiPriority w:val="99"/>
    <w:rPr>
      <w:kern w:val="2"/>
      <w:sz w:val="18"/>
      <w:szCs w:val="24"/>
    </w:rPr>
  </w:style>
  <w:style w:type="table" w:customStyle="1" w:styleId="1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CA85D1-C24F-4B77-98EB-4B0B43CDE8C2}">
  <ds:schemaRefs/>
</ds:datastoreItem>
</file>

<file path=docProps/app.xml><?xml version="1.0" encoding="utf-8"?>
<Properties xmlns="http://schemas.openxmlformats.org/officeDocument/2006/extended-properties" xmlns:vt="http://schemas.openxmlformats.org/officeDocument/2006/docPropsVTypes">
  <Template>Normal</Template>
  <Pages>104</Pages>
  <Words>48987</Words>
  <Characters>49635</Characters>
  <Lines>359</Lines>
  <Paragraphs>101</Paragraphs>
  <TotalTime>13</TotalTime>
  <ScaleCrop>false</ScaleCrop>
  <LinksUpToDate>false</LinksUpToDate>
  <CharactersWithSpaces>49729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2023-02-14T11:24:00Z</dcterms:created>
  <dc:creator>Administrator</dc:creator>
  <cp:lastModifiedBy>Mrs.J</cp:lastModifiedBy>
  <cp:lastPrinted>2023-03-03T07:29:00Z</cp:lastPrinted>
  <dcterms:modified xsi:type="dcterms:W3CDTF">2023-03-07T07:44:35Z</dcterms:modified>
  <cp:revision>133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KSOSaveFontToCloudKey">
    <vt:lpwstr>610315116_btnclosed</vt:lpwstr>
  </property>
  <property fmtid="{D5CDD505-2E9C-101B-9397-08002B2CF9AE}" pid="4" name="ICV">
    <vt:lpwstr>86DBBAD5C1F24DAEA526CF127FB9136E</vt:lpwstr>
  </property>
</Properties>
</file>