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3" w:line="204" w:lineRule="auto"/>
        <w:ind w:left="56"/>
        <w:rPr>
          <w:rFonts w:ascii="微软雅黑" w:hAnsi="微软雅黑" w:eastAsia="微软雅黑" w:cs="微软雅黑"/>
          <w:sz w:val="31"/>
          <w:szCs w:val="31"/>
        </w:rPr>
      </w:pPr>
      <w:r>
        <w:rPr>
          <w:rFonts w:ascii="微软雅黑" w:hAnsi="微软雅黑" w:eastAsia="微软雅黑" w:cs="微软雅黑"/>
          <w:spacing w:val="-13"/>
          <w:sz w:val="31"/>
          <w:szCs w:val="31"/>
        </w:rPr>
        <w:t>附</w:t>
      </w:r>
      <w:r>
        <w:rPr>
          <w:rFonts w:ascii="微软雅黑" w:hAnsi="微软雅黑" w:eastAsia="微软雅黑" w:cs="微软雅黑"/>
          <w:spacing w:val="-12"/>
          <w:sz w:val="31"/>
          <w:szCs w:val="31"/>
        </w:rPr>
        <w:t>件</w:t>
      </w:r>
    </w:p>
    <w:p>
      <w:pPr>
        <w:spacing w:line="296" w:lineRule="auto"/>
        <w:rPr>
          <w:rFonts w:ascii="Arial"/>
          <w:sz w:val="21"/>
        </w:rPr>
      </w:pPr>
    </w:p>
    <w:p>
      <w:pPr>
        <w:spacing w:line="560" w:lineRule="exact"/>
        <w:jc w:val="center"/>
        <w:rPr>
          <w:rFonts w:hint="eastAsia" w:ascii="黑体" w:hAnsi="黑体" w:eastAsia="黑体"/>
          <w:sz w:val="32"/>
        </w:rPr>
      </w:pPr>
      <w:r>
        <w:rPr>
          <w:rFonts w:hint="eastAsia" w:ascii="黑体" w:hAnsi="黑体" w:eastAsia="黑体"/>
          <w:sz w:val="32"/>
        </w:rPr>
        <w:t>选题指南</w:t>
      </w:r>
    </w:p>
    <w:p>
      <w:pPr>
        <w:spacing w:line="309" w:lineRule="auto"/>
        <w:rPr>
          <w:rFonts w:ascii="Arial"/>
          <w:sz w:val="21"/>
        </w:rPr>
      </w:pPr>
    </w:p>
    <w:p>
      <w:pPr>
        <w:spacing w:line="310" w:lineRule="auto"/>
        <w:rPr>
          <w:rFonts w:ascii="Arial"/>
          <w:sz w:val="21"/>
        </w:rPr>
      </w:pPr>
    </w:p>
    <w:p>
      <w:pPr>
        <w:spacing w:line="560" w:lineRule="exact"/>
        <w:ind w:firstLine="640" w:firstLineChars="200"/>
        <w:rPr>
          <w:rFonts w:hint="eastAsia" w:ascii="仿宋_GB2312" w:eastAsia="仿宋_GB2312"/>
          <w:sz w:val="32"/>
          <w:szCs w:val="22"/>
        </w:rPr>
      </w:pPr>
      <w:r>
        <w:rPr>
          <w:rFonts w:hint="eastAsia" w:ascii="仿宋_GB2312" w:eastAsia="仿宋_GB2312"/>
          <w:sz w:val="32"/>
          <w:szCs w:val="22"/>
        </w:rPr>
        <w:t>1. 当前外贸形势严峻复杂情况下，江门吸引和利用外资的存在问题及对策建议</w:t>
      </w:r>
    </w:p>
    <w:p>
      <w:pPr>
        <w:spacing w:line="560" w:lineRule="exact"/>
        <w:ind w:firstLine="640" w:firstLineChars="200"/>
        <w:rPr>
          <w:rFonts w:hint="eastAsia" w:ascii="仿宋_GB2312" w:eastAsia="仿宋_GB2312"/>
          <w:sz w:val="32"/>
          <w:szCs w:val="22"/>
        </w:rPr>
      </w:pPr>
      <w:r>
        <w:rPr>
          <w:rFonts w:hint="eastAsia" w:ascii="仿宋_GB2312" w:eastAsia="仿宋_GB2312"/>
          <w:sz w:val="32"/>
          <w:szCs w:val="22"/>
        </w:rPr>
        <w:t>2.关于深化与港澳合作加快推动大广海湾经济区开发 建设的对策建议</w:t>
      </w:r>
    </w:p>
    <w:p>
      <w:pPr>
        <w:spacing w:line="560" w:lineRule="exact"/>
        <w:ind w:firstLine="640" w:firstLineChars="200"/>
        <w:rPr>
          <w:rFonts w:hint="eastAsia" w:ascii="仿宋_GB2312" w:eastAsia="仿宋_GB2312"/>
          <w:sz w:val="32"/>
          <w:szCs w:val="22"/>
        </w:rPr>
      </w:pPr>
      <w:r>
        <w:rPr>
          <w:rFonts w:hint="eastAsia" w:ascii="仿宋_GB2312" w:eastAsia="仿宋_GB2312"/>
          <w:sz w:val="32"/>
          <w:szCs w:val="22"/>
        </w:rPr>
        <w:t>3.关于深化深江合作加快推动银湖湾滨海新区开发建 设的对策建议</w:t>
      </w:r>
    </w:p>
    <w:p>
      <w:pPr>
        <w:spacing w:line="560" w:lineRule="exact"/>
        <w:ind w:firstLine="640" w:firstLineChars="200"/>
        <w:rPr>
          <w:rFonts w:hint="eastAsia" w:ascii="仿宋_GB2312" w:eastAsia="仿宋_GB2312"/>
          <w:sz w:val="32"/>
          <w:szCs w:val="22"/>
        </w:rPr>
      </w:pPr>
      <w:r>
        <w:rPr>
          <w:rFonts w:hint="eastAsia" w:ascii="仿宋_GB2312" w:eastAsia="仿宋_GB2312"/>
          <w:sz w:val="32"/>
          <w:szCs w:val="22"/>
        </w:rPr>
        <w:t>4.关于高质量建设大型产业集聚区加快推动中欧(江门)  中小企业国际合作区的对策建议</w:t>
      </w:r>
    </w:p>
    <w:p>
      <w:pPr>
        <w:spacing w:line="560" w:lineRule="exact"/>
        <w:ind w:firstLine="640" w:firstLineChars="200"/>
        <w:jc w:val="left"/>
        <w:rPr>
          <w:rFonts w:hint="eastAsia" w:ascii="仿宋_GB2312" w:eastAsia="仿宋_GB2312"/>
          <w:sz w:val="32"/>
          <w:szCs w:val="22"/>
        </w:rPr>
      </w:pPr>
      <w:r>
        <w:rPr>
          <w:rFonts w:hint="eastAsia" w:ascii="仿宋_GB2312" w:eastAsia="仿宋_GB2312"/>
          <w:sz w:val="32"/>
          <w:szCs w:val="22"/>
        </w:rPr>
        <w:t>5.关于推动江门创新驱动传统产业向战略性新兴产业转型升级的对策建议</w:t>
      </w:r>
    </w:p>
    <w:p>
      <w:pPr>
        <w:spacing w:line="560" w:lineRule="exact"/>
        <w:ind w:left="638" w:leftChars="304" w:firstLine="0" w:firstLineChars="0"/>
        <w:jc w:val="left"/>
        <w:rPr>
          <w:rFonts w:hint="eastAsia" w:ascii="仿宋_GB2312" w:eastAsia="仿宋_GB2312"/>
          <w:sz w:val="32"/>
          <w:szCs w:val="22"/>
        </w:rPr>
      </w:pPr>
      <w:r>
        <w:rPr>
          <w:rFonts w:hint="eastAsia" w:ascii="仿宋_GB2312" w:eastAsia="仿宋_GB2312"/>
          <w:sz w:val="32"/>
          <w:szCs w:val="22"/>
        </w:rPr>
        <w:t>6.关于江门建设产业有序转移平台的对策建议              7.关于提升江门生产要素集聚驱动力的对策建议           8.关于提升江门精准招商水平促进产业结构优化的对</w:t>
      </w:r>
    </w:p>
    <w:p>
      <w:pPr>
        <w:spacing w:line="560" w:lineRule="exact"/>
        <w:ind w:left="640" w:hanging="640" w:hangingChars="200"/>
        <w:jc w:val="left"/>
        <w:rPr>
          <w:rFonts w:hint="eastAsia" w:ascii="仿宋_GB2312" w:eastAsia="仿宋_GB2312"/>
          <w:sz w:val="32"/>
          <w:szCs w:val="22"/>
        </w:rPr>
      </w:pPr>
      <w:r>
        <w:rPr>
          <w:rFonts w:hint="eastAsia" w:ascii="仿宋_GB2312" w:eastAsia="仿宋_GB2312"/>
          <w:sz w:val="32"/>
          <w:szCs w:val="22"/>
        </w:rPr>
        <w:t>策建议                                                                                9.关于发挥黄茅海跨海通道作用在台山赤溪半岛规划</w:t>
      </w:r>
    </w:p>
    <w:p>
      <w:pPr>
        <w:spacing w:line="560" w:lineRule="exact"/>
        <w:ind w:left="640" w:hanging="640" w:hangingChars="200"/>
        <w:jc w:val="left"/>
        <w:rPr>
          <w:rFonts w:hint="eastAsia" w:ascii="仿宋_GB2312" w:eastAsia="仿宋_GB2312"/>
          <w:sz w:val="32"/>
          <w:szCs w:val="22"/>
        </w:rPr>
      </w:pPr>
      <w:r>
        <w:rPr>
          <w:rFonts w:hint="eastAsia" w:ascii="仿宋_GB2312" w:eastAsia="仿宋_GB2312"/>
          <w:sz w:val="32"/>
          <w:szCs w:val="22"/>
        </w:rPr>
        <w:t>建设港澳科教产业滨海新城的对策建议</w:t>
      </w:r>
    </w:p>
    <w:p>
      <w:pPr>
        <w:spacing w:line="560" w:lineRule="exact"/>
        <w:rPr>
          <w:rFonts w:hint="default" w:ascii="仿宋_GB2312" w:eastAsia="仿宋_GB2312"/>
          <w:sz w:val="32"/>
          <w:lang w:val="en-US" w:eastAsia="zh-CN"/>
        </w:rPr>
      </w:pPr>
      <w:r>
        <w:rPr>
          <w:rFonts w:hint="eastAsia" w:ascii="仿宋_GB2312" w:eastAsia="仿宋_GB2312"/>
          <w:sz w:val="32"/>
          <w:lang w:val="en-US"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NTAzOWU5NGFjYmIyYmU5MmFjZGY5ZmUyYWMyZGUifQ=="/>
  </w:docVars>
  <w:rsids>
    <w:rsidRoot w:val="626E14C1"/>
    <w:rsid w:val="626E1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2023-02-27T08:36:00Z</dcterms:created>
  <dc:creator>博</dc:creator>
  <cp:lastModifiedBy>博</cp:lastModifiedBy>
  <dcterms:modified xsi:type="dcterms:W3CDTF">2023-02-27T08:37:04Z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4EBD92E4D18B48E8A27BCE2C7AE1D015</vt:lpwstr>
  </property>
</Properties>
</file>